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5257" w14:textId="4FB15CDC" w:rsidR="00CC2563" w:rsidRDefault="00CC2563" w:rsidP="005D16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COMMODITY SUPPLEMENTAL FOOD PROGRAM</w:t>
      </w:r>
      <w:r w:rsidR="00D00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(CSFP)</w:t>
      </w:r>
      <w:r w:rsidR="00213619">
        <w:rPr>
          <w:rFonts w:ascii="Arial" w:hAnsi="Arial" w:cs="Arial"/>
          <w:sz w:val="24"/>
          <w:szCs w:val="24"/>
        </w:rPr>
        <w:t xml:space="preserve"> </w:t>
      </w:r>
      <w:r w:rsidR="00012ED7">
        <w:rPr>
          <w:rFonts w:ascii="Arial" w:hAnsi="Arial" w:cs="Arial"/>
          <w:sz w:val="24"/>
          <w:szCs w:val="24"/>
        </w:rPr>
        <w:tab/>
      </w:r>
      <w:r w:rsidRPr="00903EFC">
        <w:rPr>
          <w:rFonts w:ascii="Arial" w:hAnsi="Arial" w:cs="Arial"/>
          <w:szCs w:val="20"/>
        </w:rPr>
        <w:t>RFP 24-630-9000-0002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2F444A" w14:textId="575E8D77" w:rsidR="005D1697" w:rsidRDefault="005D1697" w:rsidP="005D16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and Answers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71"/>
        <w:gridCol w:w="6329"/>
        <w:gridCol w:w="5668"/>
      </w:tblGrid>
      <w:tr w:rsidR="00E6643F" w:rsidRPr="0094204D" w14:paraId="34BD53EB" w14:textId="77777777" w:rsidTr="00E1557E">
        <w:tc>
          <w:tcPr>
            <w:tcW w:w="461" w:type="dxa"/>
            <w:shd w:val="clear" w:color="auto" w:fill="D9D9D9"/>
          </w:tcPr>
          <w:p w14:paraId="655B8C98" w14:textId="77777777" w:rsidR="00E6643F" w:rsidRPr="0094204D" w:rsidRDefault="00643B75" w:rsidP="00082D6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4204D">
              <w:rPr>
                <w:rFonts w:ascii="Arial" w:hAnsi="Arial" w:cs="Arial"/>
                <w:szCs w:val="20"/>
              </w:rPr>
              <w:t>#</w:t>
            </w:r>
          </w:p>
        </w:tc>
        <w:tc>
          <w:tcPr>
            <w:tcW w:w="1875" w:type="dxa"/>
            <w:shd w:val="clear" w:color="auto" w:fill="D9D9D9"/>
          </w:tcPr>
          <w:p w14:paraId="042D8887" w14:textId="77777777" w:rsidR="00E6643F" w:rsidRPr="0094204D" w:rsidRDefault="00643B75" w:rsidP="00082D6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4204D">
              <w:rPr>
                <w:rFonts w:ascii="Arial" w:hAnsi="Arial" w:cs="Arial"/>
                <w:szCs w:val="20"/>
              </w:rPr>
              <w:t>RFP Reference</w:t>
            </w:r>
          </w:p>
        </w:tc>
        <w:tc>
          <w:tcPr>
            <w:tcW w:w="6359" w:type="dxa"/>
            <w:shd w:val="clear" w:color="auto" w:fill="D9D9D9"/>
          </w:tcPr>
          <w:p w14:paraId="61DB4655" w14:textId="77777777" w:rsidR="00E6643F" w:rsidRPr="0094204D" w:rsidRDefault="00643B75" w:rsidP="00082D6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4204D">
              <w:rPr>
                <w:rFonts w:ascii="Arial" w:hAnsi="Arial" w:cs="Arial"/>
                <w:szCs w:val="20"/>
              </w:rPr>
              <w:t>Question</w:t>
            </w:r>
          </w:p>
        </w:tc>
        <w:tc>
          <w:tcPr>
            <w:tcW w:w="5695" w:type="dxa"/>
            <w:shd w:val="clear" w:color="auto" w:fill="D9D9D9"/>
          </w:tcPr>
          <w:p w14:paraId="342619EC" w14:textId="77777777" w:rsidR="00E6643F" w:rsidRPr="0094204D" w:rsidRDefault="00643B75" w:rsidP="00082D6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4204D">
              <w:rPr>
                <w:rFonts w:ascii="Arial" w:hAnsi="Arial" w:cs="Arial"/>
                <w:szCs w:val="20"/>
              </w:rPr>
              <w:t>Response</w:t>
            </w:r>
          </w:p>
        </w:tc>
      </w:tr>
      <w:tr w:rsidR="00BD5A42" w:rsidRPr="0094204D" w14:paraId="4818BEE4" w14:textId="77777777" w:rsidTr="00E1557E">
        <w:trPr>
          <w:trHeight w:val="998"/>
        </w:trPr>
        <w:tc>
          <w:tcPr>
            <w:tcW w:w="461" w:type="dxa"/>
          </w:tcPr>
          <w:p w14:paraId="660CDC3B" w14:textId="352AF049" w:rsidR="00BD5A42" w:rsidRDefault="00216006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1875" w:type="dxa"/>
          </w:tcPr>
          <w:p w14:paraId="1669A96A" w14:textId="5C7074DF" w:rsidR="00BD5A42" w:rsidRPr="00903EFC" w:rsidRDefault="00BD5A42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03EF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7ED84B2F" w14:textId="77777777" w:rsidR="00113D4F" w:rsidRDefault="00113D4F" w:rsidP="00113D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Page 5: G. Procurement Library Attachment 5. </w:t>
            </w:r>
          </w:p>
          <w:p w14:paraId="7DF98634" w14:textId="0A9B31F5" w:rsidR="00113D4F" w:rsidRPr="00113D4F" w:rsidRDefault="00113D4F" w:rsidP="00113D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Can you provide a current New Mexico CSFP State Plan? </w:t>
            </w:r>
          </w:p>
          <w:p w14:paraId="0D2650CD" w14:textId="77777777" w:rsidR="00113D4F" w:rsidRDefault="00113D4F" w:rsidP="00113D4F">
            <w:pPr>
              <w:spacing w:after="0" w:line="240" w:lineRule="auto"/>
              <w:rPr>
                <w:rFonts w:ascii="Arial" w:hAnsi="Arial" w:cs="Arial"/>
              </w:rPr>
            </w:pPr>
          </w:p>
          <w:p w14:paraId="0C86B680" w14:textId="5E480CF7" w:rsidR="00BD5A42" w:rsidRPr="00113D4F" w:rsidRDefault="004D7535" w:rsidP="00113D4F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hAnsi="Arial" w:cs="Arial"/>
              </w:rPr>
              <w:t xml:space="preserve">Appendix G </w:t>
            </w:r>
            <w:r w:rsidR="000A5AC1" w:rsidRPr="00113D4F">
              <w:rPr>
                <w:rFonts w:ascii="Arial" w:hAnsi="Arial" w:cs="Arial"/>
              </w:rPr>
              <w:t>–</w:t>
            </w:r>
            <w:r w:rsidRPr="00113D4F">
              <w:rPr>
                <w:rFonts w:ascii="Arial" w:hAnsi="Arial" w:cs="Arial"/>
              </w:rPr>
              <w:t xml:space="preserve"> Amendment</w:t>
            </w:r>
            <w:r w:rsidR="000A5AC1" w:rsidRPr="00113D4F">
              <w:rPr>
                <w:rFonts w:ascii="Arial" w:hAnsi="Arial" w:cs="Arial"/>
              </w:rPr>
              <w:t xml:space="preserve"> </w:t>
            </w:r>
          </w:p>
          <w:p w14:paraId="0C5DA630" w14:textId="2081E911" w:rsidR="000A5AC1" w:rsidRPr="00113D4F" w:rsidRDefault="000A5AC1" w:rsidP="00113D4F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hAnsi="Arial" w:cs="Arial"/>
              </w:rPr>
              <w:t>2023 CSFP Caseload Assignment Memorandum</w:t>
            </w:r>
          </w:p>
          <w:p w14:paraId="797BE76C" w14:textId="0E270B1E" w:rsidR="000A5AC1" w:rsidRPr="00113D4F" w:rsidRDefault="000A5AC1" w:rsidP="00113D4F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hAnsi="Arial" w:cs="Arial"/>
              </w:rPr>
              <w:t>NM CSFP State Plan 2023 Amendment</w:t>
            </w:r>
          </w:p>
          <w:p w14:paraId="2441EDE4" w14:textId="29CED426" w:rsidR="000A5AC1" w:rsidRPr="00113D4F" w:rsidRDefault="000A5AC1" w:rsidP="00113D4F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hAnsi="Arial" w:cs="Arial"/>
              </w:rPr>
              <w:t>NM CSFP Program Standards &amp; Requirements</w:t>
            </w:r>
            <w:r w:rsidR="00E1557E" w:rsidRPr="00113D4F">
              <w:rPr>
                <w:rFonts w:ascii="Arial" w:hAnsi="Arial" w:cs="Arial"/>
              </w:rPr>
              <w:t xml:space="preserve"> August 2023</w:t>
            </w:r>
          </w:p>
          <w:p w14:paraId="6E950326" w14:textId="068EE71E" w:rsidR="004D7535" w:rsidRPr="00113D4F" w:rsidRDefault="000A5AC1" w:rsidP="00113D4F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hAnsi="Arial" w:cs="Arial"/>
              </w:rPr>
              <w:t>Site List – July 2023</w:t>
            </w:r>
          </w:p>
        </w:tc>
        <w:tc>
          <w:tcPr>
            <w:tcW w:w="5695" w:type="dxa"/>
          </w:tcPr>
          <w:p w14:paraId="23D2EE8F" w14:textId="64BDE045" w:rsidR="00BD5A42" w:rsidRDefault="009965CA" w:rsidP="00BD5A4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An </w:t>
            </w:r>
            <w:r w:rsidR="00BD5A42">
              <w:rPr>
                <w:rFonts w:ascii="Arial" w:hAnsi="Arial" w:cs="Arial"/>
                <w:szCs w:val="20"/>
              </w:rPr>
              <w:t xml:space="preserve">Amendment </w:t>
            </w:r>
            <w:r w:rsidR="005D7ECB">
              <w:rPr>
                <w:rFonts w:ascii="Arial" w:hAnsi="Arial" w:cs="Arial"/>
                <w:szCs w:val="20"/>
              </w:rPr>
              <w:t>will be issued.</w:t>
            </w:r>
          </w:p>
          <w:p w14:paraId="65A6B91F" w14:textId="2D81AB2A" w:rsidR="00BD5A42" w:rsidRDefault="00BD5A42" w:rsidP="005D7EC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54B13" w:rsidRPr="0094204D" w14:paraId="4AE769ED" w14:textId="77777777" w:rsidTr="00E1557E">
        <w:trPr>
          <w:trHeight w:val="998"/>
        </w:trPr>
        <w:tc>
          <w:tcPr>
            <w:tcW w:w="461" w:type="dxa"/>
          </w:tcPr>
          <w:p w14:paraId="5E492866" w14:textId="7C6ACF8C" w:rsidR="00754B13" w:rsidRPr="0094204D" w:rsidRDefault="00216006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1875" w:type="dxa"/>
          </w:tcPr>
          <w:p w14:paraId="379FBC94" w14:textId="73F7F8AB" w:rsidR="00754B13" w:rsidRPr="0094204D" w:rsidRDefault="00903EFC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Hlk143180293"/>
            <w:r w:rsidRPr="00903EFC">
              <w:rPr>
                <w:rFonts w:ascii="Arial" w:hAnsi="Arial" w:cs="Arial"/>
                <w:szCs w:val="20"/>
              </w:rPr>
              <w:t>RFP 24-630-9000-0002 - CSFP RFP</w:t>
            </w:r>
            <w:bookmarkEnd w:id="0"/>
          </w:p>
        </w:tc>
        <w:tc>
          <w:tcPr>
            <w:tcW w:w="6359" w:type="dxa"/>
          </w:tcPr>
          <w:p w14:paraId="02E32CD3" w14:textId="77777777" w:rsidR="004D7535" w:rsidRPr="00113D4F" w:rsidRDefault="00F75236" w:rsidP="00213619">
            <w:pPr>
              <w:rPr>
                <w:rFonts w:ascii="Arial" w:hAnsi="Arial" w:cs="Arial"/>
                <w:color w:val="000000"/>
              </w:rPr>
            </w:pPr>
            <w:r w:rsidRPr="00113D4F">
              <w:rPr>
                <w:rFonts w:ascii="Arial" w:hAnsi="Arial" w:cs="Arial"/>
                <w:color w:val="000000"/>
              </w:rPr>
              <w:t>Could you send to me a list of either July or May 2023 Current Seniors Served by County – Unduplicated report</w:t>
            </w:r>
            <w:r w:rsidR="004D7535" w:rsidRPr="00113D4F">
              <w:rPr>
                <w:rFonts w:ascii="Arial" w:hAnsi="Arial" w:cs="Arial"/>
                <w:color w:val="000000"/>
              </w:rPr>
              <w:t>?</w:t>
            </w:r>
          </w:p>
          <w:p w14:paraId="06124659" w14:textId="4F131FE8" w:rsidR="00F75236" w:rsidRPr="00113D4F" w:rsidRDefault="004D7535" w:rsidP="004D75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Can we see Appendix G, Attachment 2, the preceding month of May 2023 and following month of July 2023?</w:t>
            </w:r>
          </w:p>
        </w:tc>
        <w:tc>
          <w:tcPr>
            <w:tcW w:w="5695" w:type="dxa"/>
          </w:tcPr>
          <w:p w14:paraId="45633BEE" w14:textId="2DB0A679" w:rsidR="00BD5973" w:rsidRDefault="00E1557E" w:rsidP="00672DC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An </w:t>
            </w:r>
            <w:r w:rsidR="00BD5973">
              <w:rPr>
                <w:rFonts w:ascii="Arial" w:hAnsi="Arial" w:cs="Arial"/>
                <w:szCs w:val="20"/>
              </w:rPr>
              <w:t xml:space="preserve">Amendment </w:t>
            </w:r>
            <w:r w:rsidR="005D7ECB">
              <w:rPr>
                <w:rFonts w:ascii="Arial" w:hAnsi="Arial" w:cs="Arial"/>
                <w:szCs w:val="20"/>
              </w:rPr>
              <w:t>will be i</w:t>
            </w:r>
            <w:r w:rsidR="00BD5973">
              <w:rPr>
                <w:rFonts w:ascii="Arial" w:hAnsi="Arial" w:cs="Arial"/>
                <w:szCs w:val="20"/>
              </w:rPr>
              <w:t>ssued</w:t>
            </w:r>
            <w:r w:rsidR="005D7ECB">
              <w:rPr>
                <w:rFonts w:ascii="Arial" w:hAnsi="Arial" w:cs="Arial"/>
                <w:szCs w:val="20"/>
              </w:rPr>
              <w:t>.</w:t>
            </w:r>
          </w:p>
          <w:p w14:paraId="1A686A25" w14:textId="77777777" w:rsidR="00E1557E" w:rsidRDefault="00E1557E" w:rsidP="00672DC0">
            <w:pPr>
              <w:spacing w:after="0" w:line="240" w:lineRule="auto"/>
            </w:pPr>
          </w:p>
          <w:p w14:paraId="062169E0" w14:textId="73B5C55A" w:rsidR="009136D8" w:rsidRPr="00BC2B78" w:rsidRDefault="009136D8" w:rsidP="005D7ECB">
            <w:pPr>
              <w:spacing w:after="0" w:line="240" w:lineRule="auto"/>
              <w:rPr>
                <w:rFonts w:ascii="Arial" w:hAnsi="Arial" w:cs="Arial"/>
                <w:szCs w:val="20"/>
                <w:highlight w:val="cyan"/>
              </w:rPr>
            </w:pPr>
          </w:p>
        </w:tc>
      </w:tr>
      <w:tr w:rsidR="00E6643F" w:rsidRPr="0094204D" w14:paraId="3BE74EBB" w14:textId="77777777" w:rsidTr="00356943">
        <w:trPr>
          <w:trHeight w:val="1160"/>
        </w:trPr>
        <w:tc>
          <w:tcPr>
            <w:tcW w:w="461" w:type="dxa"/>
          </w:tcPr>
          <w:p w14:paraId="2AD781BD" w14:textId="7D840BB1" w:rsidR="00E6643F" w:rsidRPr="0094204D" w:rsidRDefault="00216006" w:rsidP="00754B1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1875" w:type="dxa"/>
          </w:tcPr>
          <w:p w14:paraId="289904EE" w14:textId="6AEB47E9" w:rsidR="00E6643F" w:rsidRPr="0094204D" w:rsidRDefault="00F75236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03EF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116F13C0" w14:textId="77777777" w:rsidR="00F75236" w:rsidRPr="00113D4F" w:rsidRDefault="00F75236" w:rsidP="00A638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3D4F">
              <w:rPr>
                <w:rFonts w:ascii="Arial" w:hAnsi="Arial" w:cs="Arial"/>
                <w:color w:val="000000"/>
              </w:rPr>
              <w:t xml:space="preserve">In reviewing the </w:t>
            </w:r>
            <w:proofErr w:type="gramStart"/>
            <w:r w:rsidRPr="00113D4F">
              <w:rPr>
                <w:rFonts w:ascii="Arial" w:hAnsi="Arial" w:cs="Arial"/>
                <w:color w:val="000000"/>
              </w:rPr>
              <w:t>RFP</w:t>
            </w:r>
            <w:proofErr w:type="gramEnd"/>
            <w:r w:rsidRPr="00113D4F">
              <w:rPr>
                <w:rFonts w:ascii="Arial" w:hAnsi="Arial" w:cs="Arial"/>
                <w:color w:val="000000"/>
              </w:rPr>
              <w:t xml:space="preserve"> I noted on page 37 (screen shot below) the following are listed: </w:t>
            </w:r>
          </w:p>
          <w:p w14:paraId="31AA1765" w14:textId="77777777" w:rsidR="005D7ECB" w:rsidRDefault="005D7ECB" w:rsidP="00A638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E9BAB46" w14:textId="6CEF4154" w:rsidR="00F75236" w:rsidRPr="00113D4F" w:rsidRDefault="00F75236" w:rsidP="00A638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3D4F">
              <w:rPr>
                <w:rFonts w:ascii="Arial" w:hAnsi="Arial" w:cs="Arial"/>
                <w:color w:val="000000"/>
              </w:rPr>
              <w:t>6.  Employee Health Coverage Form</w:t>
            </w:r>
          </w:p>
          <w:p w14:paraId="35069FA1" w14:textId="77777777" w:rsidR="00F75236" w:rsidRPr="00113D4F" w:rsidRDefault="00F75236" w:rsidP="00A638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3D4F">
              <w:rPr>
                <w:rFonts w:ascii="Arial" w:hAnsi="Arial" w:cs="Arial"/>
                <w:color w:val="000000"/>
              </w:rPr>
              <w:t>7.  Pay Equity Reporting</w:t>
            </w:r>
          </w:p>
          <w:p w14:paraId="5A26BF6D" w14:textId="77777777" w:rsidR="00F75236" w:rsidRPr="00113D4F" w:rsidRDefault="00F75236" w:rsidP="00A638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3D4F">
              <w:rPr>
                <w:rFonts w:ascii="Arial" w:hAnsi="Arial" w:cs="Arial"/>
                <w:color w:val="000000"/>
              </w:rPr>
              <w:t>8.  Governmental Conduct Concurrence</w:t>
            </w:r>
          </w:p>
          <w:p w14:paraId="7EBBA640" w14:textId="77777777" w:rsidR="00E6643F" w:rsidRDefault="00F75236" w:rsidP="00A6386C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113D4F">
              <w:rPr>
                <w:rFonts w:ascii="Arial" w:hAnsi="Arial" w:cs="Arial"/>
                <w:color w:val="000000"/>
              </w:rPr>
              <w:t>Are these actual forms to be completed?  Can you point me to where these forms are located as they don’t appear to be included within Appendix D – Cost response form, or as additional attachments in the Bon Fire application.</w:t>
            </w:r>
          </w:p>
          <w:p w14:paraId="115EED10" w14:textId="69D4BDE9" w:rsidR="00A6386C" w:rsidRPr="00A6386C" w:rsidRDefault="00A6386C" w:rsidP="00A638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95" w:type="dxa"/>
          </w:tcPr>
          <w:p w14:paraId="01B9470C" w14:textId="330AC5C9" w:rsidR="00DE3A5D" w:rsidRPr="005C2FB1" w:rsidRDefault="005D7ECB" w:rsidP="00F978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 Amendment will be issued.</w:t>
            </w:r>
          </w:p>
        </w:tc>
      </w:tr>
      <w:tr w:rsidR="00E6643F" w:rsidRPr="0094204D" w14:paraId="116FC6DE" w14:textId="77777777" w:rsidTr="00E1557E">
        <w:tc>
          <w:tcPr>
            <w:tcW w:w="461" w:type="dxa"/>
          </w:tcPr>
          <w:p w14:paraId="4E7E8575" w14:textId="12AD28E3" w:rsidR="00E6643F" w:rsidRPr="0094204D" w:rsidRDefault="00216006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1875" w:type="dxa"/>
          </w:tcPr>
          <w:p w14:paraId="66D2B73D" w14:textId="37BF76FE" w:rsidR="00E6643F" w:rsidRPr="0094204D" w:rsidRDefault="00627242" w:rsidP="00082D6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03EF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5A1410CB" w14:textId="77777777" w:rsidR="00627242" w:rsidRPr="00113D4F" w:rsidRDefault="00627242" w:rsidP="00627242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Is New Mexico’s caseload currently 100 percent utilized? </w:t>
            </w:r>
          </w:p>
          <w:p w14:paraId="3CCC81EB" w14:textId="77777777" w:rsidR="00E6643F" w:rsidRPr="00113D4F" w:rsidRDefault="00E6643F" w:rsidP="00082D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0CA0D749" w14:textId="1469A6FC" w:rsidR="009136D8" w:rsidRPr="00BC2B78" w:rsidRDefault="00F726FE" w:rsidP="005C2FB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No.</w:t>
            </w:r>
          </w:p>
        </w:tc>
      </w:tr>
      <w:tr w:rsidR="00E1557E" w:rsidRPr="0094204D" w14:paraId="54567C41" w14:textId="77777777" w:rsidTr="00E1557E">
        <w:tc>
          <w:tcPr>
            <w:tcW w:w="461" w:type="dxa"/>
          </w:tcPr>
          <w:p w14:paraId="082CE0BC" w14:textId="467BC7EF" w:rsidR="00E1557E" w:rsidRPr="0094204D" w:rsidRDefault="00216006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5.</w:t>
            </w:r>
          </w:p>
        </w:tc>
        <w:tc>
          <w:tcPr>
            <w:tcW w:w="1875" w:type="dxa"/>
          </w:tcPr>
          <w:p w14:paraId="3CB6349C" w14:textId="2E22D8AF" w:rsidR="00E1557E" w:rsidRPr="0094204D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B222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09DF8952" w14:textId="77777777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Does the offeror have to submit a redacted proposal? What information would necessitate being redacted?</w:t>
            </w:r>
          </w:p>
          <w:p w14:paraId="5FA3B6CD" w14:textId="77777777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50D13DF" w14:textId="61324716" w:rsidR="00E1557E" w:rsidRPr="00113D4F" w:rsidRDefault="00E1557E" w:rsidP="00E155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78DA6639" w14:textId="31D515A6" w:rsidR="00113D4F" w:rsidRPr="00113D4F" w:rsidRDefault="00113D4F" w:rsidP="00113D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Please see </w:t>
            </w:r>
            <w:r w:rsidRPr="00113D4F">
              <w:rPr>
                <w:rFonts w:ascii="Arial" w:eastAsia="Times New Roman" w:hAnsi="Arial" w:cs="Arial"/>
              </w:rPr>
              <w:t>Section II.C.8.b. of the RFP, Disclosure of Proposal Contents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51730AC7" w14:textId="6D9081AE" w:rsidR="00113D4F" w:rsidRDefault="00113D4F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51C02BA0" w14:textId="406E7286" w:rsidR="00E1557E" w:rsidRPr="00BC2B78" w:rsidRDefault="00113D4F" w:rsidP="00113D4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see Definitions: Redacted and Unredacted.</w:t>
            </w:r>
          </w:p>
        </w:tc>
      </w:tr>
      <w:tr w:rsidR="00E1557E" w:rsidRPr="0094204D" w14:paraId="5A3C3025" w14:textId="77777777" w:rsidTr="00E1557E">
        <w:tc>
          <w:tcPr>
            <w:tcW w:w="461" w:type="dxa"/>
          </w:tcPr>
          <w:p w14:paraId="14E9AF5E" w14:textId="665E359C" w:rsidR="00E1557E" w:rsidRPr="0094204D" w:rsidRDefault="00216006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6.</w:t>
            </w:r>
          </w:p>
        </w:tc>
        <w:tc>
          <w:tcPr>
            <w:tcW w:w="1875" w:type="dxa"/>
          </w:tcPr>
          <w:p w14:paraId="63F9763F" w14:textId="68D6711E" w:rsidR="00E1557E" w:rsidRPr="0094204D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B222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05BE6E0F" w14:textId="77777777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Can a state-employed director for a different program/agency be a reference? </w:t>
            </w:r>
          </w:p>
          <w:p w14:paraId="743A4B91" w14:textId="06E24AB1" w:rsidR="00E1557E" w:rsidRPr="00113D4F" w:rsidRDefault="00E1557E" w:rsidP="00E155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7B71DD1A" w14:textId="511D5A21" w:rsidR="00E1557E" w:rsidRPr="00E9378D" w:rsidRDefault="00E9378D" w:rsidP="005C2FB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Yes. </w:t>
            </w:r>
            <w:proofErr w:type="gramStart"/>
            <w:r w:rsidR="005C2FB1">
              <w:rPr>
                <w:rFonts w:ascii="Arial" w:hAnsi="Arial" w:cs="Arial"/>
                <w:szCs w:val="20"/>
              </w:rPr>
              <w:t>As long as</w:t>
            </w:r>
            <w:proofErr w:type="gramEnd"/>
            <w:r w:rsidR="005C2FB1">
              <w:rPr>
                <w:rFonts w:ascii="Arial" w:hAnsi="Arial" w:cs="Arial"/>
                <w:szCs w:val="20"/>
              </w:rPr>
              <w:t xml:space="preserve"> this individual is not part of the Human Services Evaluation or Decision-Making Team for this RFP.</w:t>
            </w:r>
          </w:p>
        </w:tc>
      </w:tr>
      <w:tr w:rsidR="00E1557E" w:rsidRPr="0094204D" w14:paraId="22C71E2F" w14:textId="77777777" w:rsidTr="00E1557E">
        <w:tc>
          <w:tcPr>
            <w:tcW w:w="461" w:type="dxa"/>
          </w:tcPr>
          <w:p w14:paraId="520FE577" w14:textId="53879986" w:rsidR="00E1557E" w:rsidRPr="0094204D" w:rsidRDefault="00216006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</w:t>
            </w:r>
          </w:p>
        </w:tc>
        <w:tc>
          <w:tcPr>
            <w:tcW w:w="1875" w:type="dxa"/>
          </w:tcPr>
          <w:p w14:paraId="46E2E0E5" w14:textId="5DCB26EE" w:rsidR="00E1557E" w:rsidRPr="0094204D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B222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55A14E2E" w14:textId="77777777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Wil offerors be notified references for their organization have been </w:t>
            </w:r>
            <w:proofErr w:type="gramStart"/>
            <w:r w:rsidRPr="00113D4F">
              <w:rPr>
                <w:rFonts w:ascii="Arial" w:eastAsia="Times New Roman" w:hAnsi="Arial" w:cs="Arial"/>
              </w:rPr>
              <w:t>submitted?</w:t>
            </w:r>
            <w:proofErr w:type="gramEnd"/>
            <w:r w:rsidRPr="00113D4F">
              <w:rPr>
                <w:rFonts w:ascii="Arial" w:eastAsia="Times New Roman" w:hAnsi="Arial" w:cs="Arial"/>
              </w:rPr>
              <w:t xml:space="preserve"> </w:t>
            </w:r>
          </w:p>
          <w:p w14:paraId="08DA82CB" w14:textId="77777777" w:rsidR="00E1557E" w:rsidRPr="00113D4F" w:rsidRDefault="00E1557E" w:rsidP="00E155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180C0B21" w14:textId="77777777" w:rsidR="005C2FB1" w:rsidRDefault="00E9378D" w:rsidP="00E9378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No. </w:t>
            </w:r>
          </w:p>
          <w:p w14:paraId="41D851CE" w14:textId="2113A105" w:rsidR="00E1557E" w:rsidRPr="006175BA" w:rsidRDefault="00E1557E" w:rsidP="00E9378D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E1557E" w:rsidRPr="0094204D" w14:paraId="1008BF99" w14:textId="77777777" w:rsidTr="00E1557E">
        <w:tc>
          <w:tcPr>
            <w:tcW w:w="461" w:type="dxa"/>
          </w:tcPr>
          <w:p w14:paraId="4BDDBC74" w14:textId="32B4AD08" w:rsidR="00E1557E" w:rsidRPr="0094204D" w:rsidRDefault="00216006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</w:t>
            </w:r>
          </w:p>
        </w:tc>
        <w:tc>
          <w:tcPr>
            <w:tcW w:w="1875" w:type="dxa"/>
          </w:tcPr>
          <w:p w14:paraId="14937DA4" w14:textId="05E3DBB2" w:rsidR="00E1557E" w:rsidRPr="0094204D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B222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7947CBB3" w14:textId="116FE328" w:rsidR="00E1557E" w:rsidRPr="00113D4F" w:rsidRDefault="00E1557E" w:rsidP="00E1557E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Can offeror ask question about the RFP after the August 21 deadline? Will those questions be answered directly or posted on Bonfire?</w:t>
            </w:r>
          </w:p>
        </w:tc>
        <w:tc>
          <w:tcPr>
            <w:tcW w:w="5695" w:type="dxa"/>
          </w:tcPr>
          <w:p w14:paraId="525E8B09" w14:textId="0FFFE9BB" w:rsidR="00E1557E" w:rsidRPr="006175BA" w:rsidRDefault="005C2FB1" w:rsidP="005C2FB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No.</w:t>
            </w:r>
          </w:p>
        </w:tc>
      </w:tr>
      <w:tr w:rsidR="00E1557E" w:rsidRPr="0094204D" w14:paraId="2B247416" w14:textId="77777777" w:rsidTr="00E1557E">
        <w:tc>
          <w:tcPr>
            <w:tcW w:w="461" w:type="dxa"/>
          </w:tcPr>
          <w:p w14:paraId="3AAB1691" w14:textId="49FFD4CF" w:rsidR="00E1557E" w:rsidRPr="0094204D" w:rsidRDefault="00216006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</w:t>
            </w:r>
          </w:p>
        </w:tc>
        <w:tc>
          <w:tcPr>
            <w:tcW w:w="1875" w:type="dxa"/>
          </w:tcPr>
          <w:p w14:paraId="508D852D" w14:textId="17A3875C" w:rsidR="00E1557E" w:rsidRPr="0094204D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B222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778C9036" w14:textId="77777777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Is the cost proposal cumulative, as in consisting of a response to several counties in one form?  </w:t>
            </w:r>
          </w:p>
          <w:p w14:paraId="28C419E6" w14:textId="77777777" w:rsidR="009361BD" w:rsidRDefault="009361BD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8565DF" w14:textId="748B8D99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On section iii can you clarify “32. … Error! Bookmark not defined.”</w:t>
            </w:r>
          </w:p>
          <w:p w14:paraId="603AFAA5" w14:textId="19C01FF9" w:rsidR="00E1557E" w:rsidRPr="00113D4F" w:rsidRDefault="00E1557E" w:rsidP="00E1557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26A1F866" w14:textId="77777777" w:rsidR="00E1557E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YES.  You should include the counties the agency proposes to serve in one form.</w:t>
            </w:r>
          </w:p>
          <w:p w14:paraId="2EC33979" w14:textId="77777777" w:rsidR="00E1557E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51AE69FA" w14:textId="6D578B49" w:rsidR="00E1557E" w:rsidRPr="006175BA" w:rsidRDefault="006F6398" w:rsidP="00E1557E">
            <w:pPr>
              <w:spacing w:after="0" w:line="240" w:lineRule="auto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An amendment will be issued.</w:t>
            </w:r>
          </w:p>
        </w:tc>
      </w:tr>
      <w:tr w:rsidR="00E1557E" w:rsidRPr="0094204D" w14:paraId="05FF816E" w14:textId="77777777" w:rsidTr="00E1557E">
        <w:tc>
          <w:tcPr>
            <w:tcW w:w="461" w:type="dxa"/>
          </w:tcPr>
          <w:p w14:paraId="308648C9" w14:textId="3283BC34" w:rsidR="00E1557E" w:rsidRPr="0094204D" w:rsidRDefault="00216006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</w:t>
            </w:r>
          </w:p>
        </w:tc>
        <w:tc>
          <w:tcPr>
            <w:tcW w:w="1875" w:type="dxa"/>
          </w:tcPr>
          <w:p w14:paraId="2AA303DD" w14:textId="61E43FAD" w:rsidR="00E1557E" w:rsidRPr="0094204D" w:rsidRDefault="00E1557E" w:rsidP="00E155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C367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7E80421A" w14:textId="77777777" w:rsidR="00E9378D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Page 2: “ONLY protests delivered directly to the Protest Manager in writing and in a timely fashion will be considered to have been submitted properly and in accordance with statute, </w:t>
            </w:r>
            <w:proofErr w:type="gramStart"/>
            <w:r w:rsidRPr="00113D4F">
              <w:rPr>
                <w:rFonts w:ascii="Arial" w:eastAsia="Times New Roman" w:hAnsi="Arial" w:cs="Arial"/>
              </w:rPr>
              <w:t>rule</w:t>
            </w:r>
            <w:proofErr w:type="gramEnd"/>
            <w:r w:rsidRPr="00113D4F">
              <w:rPr>
                <w:rFonts w:ascii="Arial" w:eastAsia="Times New Roman" w:hAnsi="Arial" w:cs="Arial"/>
              </w:rPr>
              <w:t xml:space="preserve"> and this Request for Proposals. Protests submitted or delivered to the Procurement Manager will NOT be properly submitted.” </w:t>
            </w:r>
          </w:p>
          <w:p w14:paraId="30959901" w14:textId="77777777" w:rsidR="00E9378D" w:rsidRDefault="00E9378D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6BB47B" w14:textId="1974CAD2" w:rsidR="00E1557E" w:rsidRPr="00113D4F" w:rsidRDefault="00E1557E" w:rsidP="00E155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Can you clarify the correct way to submit a protest? </w:t>
            </w:r>
          </w:p>
          <w:p w14:paraId="4AD7FBA4" w14:textId="77777777" w:rsidR="00E1557E" w:rsidRPr="00113D4F" w:rsidRDefault="00E1557E" w:rsidP="00E1557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5" w:type="dxa"/>
          </w:tcPr>
          <w:p w14:paraId="2555C151" w14:textId="7316A794" w:rsidR="00E9378D" w:rsidRDefault="00E9378D" w:rsidP="00E1557E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correct way to submit a protest is found at:</w:t>
            </w:r>
          </w:p>
          <w:p w14:paraId="54A05098" w14:textId="77777777" w:rsidR="00E9378D" w:rsidRDefault="00E9378D" w:rsidP="00E1557E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II. Conditions Governing the Procurement</w:t>
            </w:r>
          </w:p>
          <w:p w14:paraId="1AF783FD" w14:textId="725CD57D" w:rsidR="00E1557E" w:rsidRDefault="00E9378D" w:rsidP="00E1557E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B. Explanation of Events, </w:t>
            </w:r>
            <w:r w:rsidR="00E1557E">
              <w:rPr>
                <w:rFonts w:ascii="Arial" w:hAnsi="Arial" w:cs="Arial"/>
                <w:szCs w:val="20"/>
              </w:rPr>
              <w:t xml:space="preserve"># 13. </w:t>
            </w:r>
            <w:r w:rsidR="00E1557E">
              <w:rPr>
                <w:rFonts w:ascii="Arial" w:hAnsi="Arial" w:cs="Arial"/>
                <w:b/>
                <w:bCs/>
                <w:szCs w:val="20"/>
              </w:rPr>
              <w:t>Protest Deadline</w:t>
            </w:r>
          </w:p>
          <w:p w14:paraId="5ADDB1EC" w14:textId="0AAAAF79" w:rsidR="00E1557E" w:rsidRPr="00C34DA3" w:rsidRDefault="00E1557E" w:rsidP="00E1557E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3D4B0D" w:rsidRPr="0094204D" w14:paraId="50708285" w14:textId="77777777" w:rsidTr="00E1557E">
        <w:tc>
          <w:tcPr>
            <w:tcW w:w="461" w:type="dxa"/>
          </w:tcPr>
          <w:p w14:paraId="5FD2DE45" w14:textId="588A556E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11.</w:t>
            </w:r>
          </w:p>
        </w:tc>
        <w:tc>
          <w:tcPr>
            <w:tcW w:w="1875" w:type="dxa"/>
          </w:tcPr>
          <w:p w14:paraId="37A5EA3D" w14:textId="78DF5608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C367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022EBC64" w14:textId="77777777" w:rsidR="006F6398" w:rsidRDefault="003D4B0D" w:rsidP="003D4B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Page 5: G. Procurement Library </w:t>
            </w:r>
            <w:r w:rsidR="006175BA" w:rsidRPr="00113D4F">
              <w:rPr>
                <w:rFonts w:ascii="Arial" w:eastAsia="Times New Roman" w:hAnsi="Arial" w:cs="Arial"/>
              </w:rPr>
              <w:t>Attachment</w:t>
            </w:r>
            <w:r w:rsidRPr="00113D4F">
              <w:rPr>
                <w:rFonts w:ascii="Arial" w:eastAsia="Times New Roman" w:hAnsi="Arial" w:cs="Arial"/>
              </w:rPr>
              <w:t xml:space="preserve"> 2. What is the difference between a “drop” and a “tailgate.” </w:t>
            </w:r>
          </w:p>
          <w:p w14:paraId="092DFC7C" w14:textId="77777777" w:rsidR="006F6398" w:rsidRDefault="006F6398" w:rsidP="003D4B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17F296" w14:textId="44526180" w:rsidR="003D4B0D" w:rsidRPr="00113D4F" w:rsidRDefault="003D4B0D" w:rsidP="006F6398">
            <w:pPr>
              <w:spacing w:after="0" w:line="240" w:lineRule="auto"/>
              <w:rPr>
                <w:rFonts w:ascii="Arial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Which agency is responsible for completing information in ICOS? </w:t>
            </w:r>
          </w:p>
        </w:tc>
        <w:tc>
          <w:tcPr>
            <w:tcW w:w="5695" w:type="dxa"/>
          </w:tcPr>
          <w:p w14:paraId="2FE6180D" w14:textId="1F03B924" w:rsidR="006F6398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Tailgate: Remote Site distribution using contractor staff that stay at the site during the distribution.</w:t>
            </w:r>
          </w:p>
          <w:p w14:paraId="42B47C04" w14:textId="77777777" w:rsidR="006F6398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0E8551FE" w14:textId="71FC14B1" w:rsidR="006F6398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Drop: A Remote Site that the contractor leaves the food packages at the site.  The volunteer staff distribute the packages.</w:t>
            </w:r>
          </w:p>
          <w:p w14:paraId="584C93DC" w14:textId="77777777" w:rsidR="006F6398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5158E410" w14:textId="2725F370" w:rsidR="006F6398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contractor is responsible for ensuring information is completed correctly in ICOS.</w:t>
            </w:r>
          </w:p>
          <w:p w14:paraId="78C248D1" w14:textId="3473BB3B" w:rsidR="006F6398" w:rsidRPr="00AB4FF2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D4B0D" w:rsidRPr="0094204D" w14:paraId="05F95E73" w14:textId="77777777" w:rsidTr="00E1557E">
        <w:tc>
          <w:tcPr>
            <w:tcW w:w="461" w:type="dxa"/>
          </w:tcPr>
          <w:p w14:paraId="074C0741" w14:textId="277C25E0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12.</w:t>
            </w:r>
          </w:p>
        </w:tc>
        <w:tc>
          <w:tcPr>
            <w:tcW w:w="1875" w:type="dxa"/>
          </w:tcPr>
          <w:p w14:paraId="0ABF016A" w14:textId="2AF479F4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C367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5CA5E6D8" w14:textId="526A8F11" w:rsidR="003D4B0D" w:rsidRPr="00113D4F" w:rsidRDefault="003D4B0D" w:rsidP="003D4B0D">
            <w:pPr>
              <w:spacing w:after="0" w:line="480" w:lineRule="auto"/>
              <w:rPr>
                <w:rFonts w:ascii="Arial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Is there an existing formula for determining trip rates? </w:t>
            </w:r>
          </w:p>
        </w:tc>
        <w:tc>
          <w:tcPr>
            <w:tcW w:w="5695" w:type="dxa"/>
          </w:tcPr>
          <w:p w14:paraId="6395D42B" w14:textId="2CCEF9AE" w:rsidR="003D4B0D" w:rsidRPr="00BC2B78" w:rsidRDefault="00E3063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No.</w:t>
            </w:r>
          </w:p>
        </w:tc>
      </w:tr>
      <w:tr w:rsidR="003D4B0D" w:rsidRPr="0094204D" w14:paraId="7591C27F" w14:textId="77777777" w:rsidTr="00E1557E">
        <w:tc>
          <w:tcPr>
            <w:tcW w:w="461" w:type="dxa"/>
          </w:tcPr>
          <w:p w14:paraId="297DEBD5" w14:textId="0416D73E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13.</w:t>
            </w:r>
          </w:p>
        </w:tc>
        <w:tc>
          <w:tcPr>
            <w:tcW w:w="1875" w:type="dxa"/>
          </w:tcPr>
          <w:p w14:paraId="5ECD074B" w14:textId="7FF741A8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C367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7A9DBBEF" w14:textId="63DA19EB" w:rsidR="003D4B0D" w:rsidRPr="00113D4F" w:rsidRDefault="003D4B0D" w:rsidP="003D4B0D">
            <w:pPr>
              <w:spacing w:after="0" w:line="480" w:lineRule="auto"/>
              <w:rPr>
                <w:rFonts w:ascii="Arial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Page 30: 7. What is the FNS 191 report?</w:t>
            </w:r>
          </w:p>
        </w:tc>
        <w:tc>
          <w:tcPr>
            <w:tcW w:w="5695" w:type="dxa"/>
          </w:tcPr>
          <w:p w14:paraId="4D302B60" w14:textId="025EDF04" w:rsidR="003D4B0D" w:rsidRDefault="00E3063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FNS 191 report is an annual USDA required Race &amp; Ethnicity Report of participants.</w:t>
            </w:r>
            <w:r w:rsidR="00A6386C">
              <w:rPr>
                <w:rFonts w:ascii="Arial" w:hAnsi="Arial" w:cs="Arial"/>
                <w:szCs w:val="20"/>
              </w:rPr>
              <w:t xml:space="preserve">  A description and </w:t>
            </w:r>
            <w:r w:rsidR="00A6386C">
              <w:rPr>
                <w:rFonts w:ascii="Arial" w:hAnsi="Arial" w:cs="Arial"/>
                <w:szCs w:val="20"/>
              </w:rPr>
              <w:lastRenderedPageBreak/>
              <w:t xml:space="preserve">information </w:t>
            </w:r>
            <w:proofErr w:type="gramStart"/>
            <w:r w:rsidR="00A6386C">
              <w:rPr>
                <w:rFonts w:ascii="Arial" w:hAnsi="Arial" w:cs="Arial"/>
                <w:szCs w:val="20"/>
              </w:rPr>
              <w:t>is</w:t>
            </w:r>
            <w:proofErr w:type="gramEnd"/>
            <w:r w:rsidR="00A6386C">
              <w:rPr>
                <w:rFonts w:ascii="Arial" w:hAnsi="Arial" w:cs="Arial"/>
                <w:szCs w:val="20"/>
              </w:rPr>
              <w:t xml:space="preserve"> available on the USDA FNS Programs CSFP website.</w:t>
            </w:r>
          </w:p>
          <w:p w14:paraId="103FAB0D" w14:textId="100E60EE" w:rsidR="00E42ADD" w:rsidRPr="00BC2B78" w:rsidRDefault="0019622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hyperlink r:id="rId11" w:history="1">
              <w:r w:rsidR="00E42ADD" w:rsidRPr="00E42ADD">
                <w:rPr>
                  <w:color w:val="0000FF"/>
                  <w:u w:val="single"/>
                </w:rPr>
                <w:t>FNS-191: Racial/Ethnic Group Participation - CSFP | Food and Nutrition Service (usda.gov)</w:t>
              </w:r>
            </w:hyperlink>
          </w:p>
        </w:tc>
      </w:tr>
      <w:tr w:rsidR="003D4B0D" w:rsidRPr="0094204D" w14:paraId="7162CE12" w14:textId="77777777" w:rsidTr="00E1557E">
        <w:tc>
          <w:tcPr>
            <w:tcW w:w="461" w:type="dxa"/>
          </w:tcPr>
          <w:p w14:paraId="04489B0A" w14:textId="0B8489D9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14.</w:t>
            </w:r>
          </w:p>
        </w:tc>
        <w:tc>
          <w:tcPr>
            <w:tcW w:w="1875" w:type="dxa"/>
          </w:tcPr>
          <w:p w14:paraId="70707358" w14:textId="4B9EB6D4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C367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0BAD3A81" w14:textId="77777777" w:rsidR="003D4B0D" w:rsidRPr="00113D4F" w:rsidRDefault="003D4B0D" w:rsidP="003D4B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If awarded, can ICOS be used in tandem with the offeror’s existing cloud-based client management system, such as Food Bank Manager? </w:t>
            </w:r>
          </w:p>
          <w:p w14:paraId="2505F753" w14:textId="77777777" w:rsidR="003D4B0D" w:rsidRPr="00113D4F" w:rsidRDefault="003D4B0D" w:rsidP="003D4B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70EDE478" w14:textId="0BD8EDB1" w:rsidR="003D4B0D" w:rsidRPr="00BC2B78" w:rsidRDefault="00FE01E7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Yes.</w:t>
            </w:r>
          </w:p>
        </w:tc>
      </w:tr>
      <w:tr w:rsidR="003D4B0D" w:rsidRPr="0094204D" w14:paraId="5F7DBBFA" w14:textId="77777777" w:rsidTr="00E1557E">
        <w:tc>
          <w:tcPr>
            <w:tcW w:w="461" w:type="dxa"/>
          </w:tcPr>
          <w:p w14:paraId="768879C1" w14:textId="61FF2136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15.</w:t>
            </w:r>
          </w:p>
        </w:tc>
        <w:tc>
          <w:tcPr>
            <w:tcW w:w="1875" w:type="dxa"/>
          </w:tcPr>
          <w:p w14:paraId="6CB3CCA2" w14:textId="22D8B2F7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C367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096467BF" w14:textId="77777777" w:rsidR="003D4B0D" w:rsidRPr="00113D4F" w:rsidRDefault="003D4B0D" w:rsidP="003D4B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Are there certain criteria a client must meet to be determined eligible for homebound delivery? </w:t>
            </w:r>
          </w:p>
          <w:p w14:paraId="48BE55DE" w14:textId="77777777" w:rsidR="003D4B0D" w:rsidRPr="00113D4F" w:rsidRDefault="003D4B0D" w:rsidP="003D4B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2651DA8D" w14:textId="77777777" w:rsidR="00080F68" w:rsidRDefault="006F6398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No. </w:t>
            </w:r>
          </w:p>
          <w:p w14:paraId="48F0F898" w14:textId="267EAE6F" w:rsidR="003D4B0D" w:rsidRPr="00BC2B78" w:rsidRDefault="006F6398" w:rsidP="00080F6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see:</w:t>
            </w:r>
            <w:r w:rsidR="00080F68">
              <w:rPr>
                <w:rFonts w:ascii="Arial" w:hAnsi="Arial" w:cs="Arial"/>
                <w:szCs w:val="20"/>
              </w:rPr>
              <w:t xml:space="preserve"> </w:t>
            </w:r>
            <w:r w:rsidR="003F6D36">
              <w:rPr>
                <w:rFonts w:ascii="Arial" w:hAnsi="Arial" w:cs="Arial"/>
                <w:szCs w:val="20"/>
              </w:rPr>
              <w:t>New Mexico State Plan Amendment, Homebound Procedures (7 CFR 247.5 (c) 7) and Nutritional Risk Criteria (7 CFR 247.9 f (1))</w:t>
            </w:r>
          </w:p>
        </w:tc>
      </w:tr>
      <w:tr w:rsidR="003D4B0D" w:rsidRPr="0094204D" w14:paraId="3E253DE9" w14:textId="77777777" w:rsidTr="00E1557E">
        <w:tc>
          <w:tcPr>
            <w:tcW w:w="461" w:type="dxa"/>
          </w:tcPr>
          <w:p w14:paraId="20FE19E3" w14:textId="242F59B4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16.</w:t>
            </w:r>
          </w:p>
        </w:tc>
        <w:tc>
          <w:tcPr>
            <w:tcW w:w="1875" w:type="dxa"/>
          </w:tcPr>
          <w:p w14:paraId="4F33E824" w14:textId="2BA6ED31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E6B0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597F017C" w14:textId="77777777" w:rsidR="003D4B0D" w:rsidRPr="00113D4F" w:rsidRDefault="003D4B0D" w:rsidP="003D4B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Page 39: V Evaluation. A. Evaluation Point Summary table. B6 and B7. Should these letters correspond to B. Technical Specification page 34. Instead of “</w:t>
            </w:r>
            <w:proofErr w:type="spellStart"/>
            <w:r w:rsidRPr="00113D4F">
              <w:rPr>
                <w:rFonts w:ascii="Arial" w:eastAsia="Times New Roman" w:hAnsi="Arial" w:cs="Arial"/>
              </w:rPr>
              <w:t>a.b.c</w:t>
            </w:r>
            <w:proofErr w:type="spellEnd"/>
            <w:r w:rsidRPr="00113D4F">
              <w:rPr>
                <w:rFonts w:ascii="Arial" w:eastAsia="Times New Roman" w:hAnsi="Arial" w:cs="Arial"/>
              </w:rPr>
              <w:t xml:space="preserve">… should they be f. g. h….”? </w:t>
            </w:r>
          </w:p>
          <w:p w14:paraId="155D7C48" w14:textId="77777777" w:rsidR="003D4B0D" w:rsidRPr="00113D4F" w:rsidRDefault="003D4B0D" w:rsidP="003D4B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5C42B21A" w14:textId="77777777" w:rsidR="00FB4FEB" w:rsidRDefault="00FB4FEB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Point Summary Table numbering and lettering in </w:t>
            </w:r>
          </w:p>
          <w:p w14:paraId="3E758968" w14:textId="6EFC3C7E" w:rsidR="003D4B0D" w:rsidRPr="00BC2B78" w:rsidRDefault="00FB4FEB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V. Evaluation, on page 37, correspond</w:t>
            </w:r>
            <w:r w:rsidR="00F978ED">
              <w:rPr>
                <w:rFonts w:ascii="Arial" w:hAnsi="Arial" w:cs="Arial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 to B. Evaluation Factors on pages 40 – 45.</w:t>
            </w:r>
          </w:p>
        </w:tc>
      </w:tr>
      <w:tr w:rsidR="003D4B0D" w:rsidRPr="0094204D" w14:paraId="5DCA8166" w14:textId="77777777" w:rsidTr="00E1557E">
        <w:tc>
          <w:tcPr>
            <w:tcW w:w="461" w:type="dxa"/>
          </w:tcPr>
          <w:p w14:paraId="017F3CD3" w14:textId="5EE90AB0" w:rsidR="003D4B0D" w:rsidRPr="0094204D" w:rsidRDefault="00216006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17.</w:t>
            </w:r>
          </w:p>
        </w:tc>
        <w:tc>
          <w:tcPr>
            <w:tcW w:w="1875" w:type="dxa"/>
          </w:tcPr>
          <w:p w14:paraId="094D2819" w14:textId="3DE6289F" w:rsidR="003D4B0D" w:rsidRPr="0094204D" w:rsidRDefault="003D4B0D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E6B0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1081BCCE" w14:textId="77777777" w:rsidR="003D4B0D" w:rsidRPr="00113D4F" w:rsidRDefault="003D4B0D" w:rsidP="003D4B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Page 24: IV Specification. Detailed Scope of Work. How can offeror, in their proposal, adequately express acknowledgment and acceptance of these terms? Is it necessary to address this section in the offeror’s proposal? </w:t>
            </w:r>
          </w:p>
          <w:p w14:paraId="7007F875" w14:textId="77777777" w:rsidR="003D4B0D" w:rsidRPr="00113D4F" w:rsidRDefault="003D4B0D" w:rsidP="003D4B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065C5215" w14:textId="77777777" w:rsidR="00F978ED" w:rsidRDefault="00F978ED" w:rsidP="00F978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see: Section II.C. General Requirements</w:t>
            </w:r>
          </w:p>
          <w:p w14:paraId="17230329" w14:textId="77777777" w:rsidR="003D4B0D" w:rsidRDefault="00F978ED" w:rsidP="00F978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 Acceptance of Conditions Governing the Procurement</w:t>
            </w:r>
          </w:p>
          <w:p w14:paraId="01A0342F" w14:textId="77777777" w:rsidR="00356943" w:rsidRDefault="00356943" w:rsidP="00F978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7CD3A0BE" w14:textId="153C215A" w:rsidR="00356943" w:rsidRPr="00BC2B78" w:rsidRDefault="00356943" w:rsidP="00F978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statement of concurrence may be provided.</w:t>
            </w:r>
          </w:p>
        </w:tc>
      </w:tr>
      <w:tr w:rsidR="00E8522E" w:rsidRPr="0094204D" w14:paraId="46577D86" w14:textId="77777777" w:rsidTr="00E1557E">
        <w:tc>
          <w:tcPr>
            <w:tcW w:w="461" w:type="dxa"/>
          </w:tcPr>
          <w:p w14:paraId="46B664B8" w14:textId="1EAB3016" w:rsidR="00E8522E" w:rsidRDefault="00E8522E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18.</w:t>
            </w:r>
          </w:p>
        </w:tc>
        <w:tc>
          <w:tcPr>
            <w:tcW w:w="1875" w:type="dxa"/>
          </w:tcPr>
          <w:p w14:paraId="5E42C900" w14:textId="6101E08E" w:rsidR="00E8522E" w:rsidRPr="00CE6B0C" w:rsidRDefault="00E8522E" w:rsidP="003D4B0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E6B0C">
              <w:rPr>
                <w:rFonts w:ascii="Arial" w:hAnsi="Arial" w:cs="Arial"/>
                <w:szCs w:val="20"/>
              </w:rPr>
              <w:t>RFP 24-630-9000-0002 - CSFP RFP</w:t>
            </w:r>
          </w:p>
        </w:tc>
        <w:tc>
          <w:tcPr>
            <w:tcW w:w="6359" w:type="dxa"/>
          </w:tcPr>
          <w:p w14:paraId="5A446611" w14:textId="77777777" w:rsidR="00E8522E" w:rsidRDefault="00E8522E" w:rsidP="00E8522E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A6386C">
              <w:rPr>
                <w:rFonts w:ascii="Arial" w:hAnsi="Arial" w:cs="Arial"/>
                <w:color w:val="000000"/>
              </w:rPr>
              <w:t xml:space="preserve">Page 44: C.6 Is there a template form for the Employee Health Coverage Form. If not, what information needs to be included in this form? </w:t>
            </w:r>
          </w:p>
          <w:p w14:paraId="0D0C85C7" w14:textId="77777777" w:rsidR="00E8522E" w:rsidRDefault="00E8522E" w:rsidP="00E852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474D07A" w14:textId="77777777" w:rsidR="00E8522E" w:rsidRPr="00113D4F" w:rsidRDefault="00E8522E" w:rsidP="00E852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 xml:space="preserve">Page 44: C.7 Is there a template form for the Pay Equity Reporting Form? If not, what information needs to be included in this form? </w:t>
            </w:r>
          </w:p>
          <w:p w14:paraId="006EA01B" w14:textId="77777777" w:rsidR="00E8522E" w:rsidRDefault="00E8522E" w:rsidP="00E852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325DCE4" w14:textId="2F00DFBC" w:rsidR="00E8522E" w:rsidRPr="00113D4F" w:rsidRDefault="00E8522E" w:rsidP="00E852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D4F">
              <w:rPr>
                <w:rFonts w:ascii="Arial" w:eastAsia="Times New Roman" w:hAnsi="Arial" w:cs="Arial"/>
              </w:rPr>
              <w:t>Page 44: C.8 What is the Governmental Conduct Concurrence? Is there a template form for the Governmental Conduct Concurrence. If not, what information needs to be included in this form?</w:t>
            </w:r>
          </w:p>
        </w:tc>
        <w:tc>
          <w:tcPr>
            <w:tcW w:w="5695" w:type="dxa"/>
          </w:tcPr>
          <w:p w14:paraId="1E97F324" w14:textId="7FE9F507" w:rsidR="00E8522E" w:rsidRDefault="00E8522E" w:rsidP="00F978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See Question # 3.</w:t>
            </w:r>
          </w:p>
        </w:tc>
      </w:tr>
    </w:tbl>
    <w:p w14:paraId="4AA919AC" w14:textId="77777777" w:rsidR="008035CD" w:rsidRPr="002A4C6E" w:rsidRDefault="008035CD">
      <w:pPr>
        <w:rPr>
          <w:rFonts w:ascii="Arial" w:hAnsi="Arial" w:cs="Arial"/>
          <w:sz w:val="20"/>
          <w:szCs w:val="20"/>
        </w:rPr>
      </w:pPr>
    </w:p>
    <w:sectPr w:rsidR="008035CD" w:rsidRPr="002A4C6E" w:rsidSect="00643B75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BC4F" w14:textId="77777777" w:rsidR="003D4B0D" w:rsidRDefault="003D4B0D" w:rsidP="003D4B0D">
      <w:pPr>
        <w:spacing w:after="0" w:line="240" w:lineRule="auto"/>
      </w:pPr>
      <w:r>
        <w:separator/>
      </w:r>
    </w:p>
  </w:endnote>
  <w:endnote w:type="continuationSeparator" w:id="0">
    <w:p w14:paraId="59D16A7B" w14:textId="77777777" w:rsidR="003D4B0D" w:rsidRDefault="003D4B0D" w:rsidP="003D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11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E809D" w14:textId="64387602" w:rsidR="003D4B0D" w:rsidRDefault="003D4B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B0ACB" w14:textId="77777777" w:rsidR="003D4B0D" w:rsidRDefault="003D4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592C" w14:textId="77777777" w:rsidR="003D4B0D" w:rsidRDefault="003D4B0D" w:rsidP="003D4B0D">
      <w:pPr>
        <w:spacing w:after="0" w:line="240" w:lineRule="auto"/>
      </w:pPr>
      <w:r>
        <w:separator/>
      </w:r>
    </w:p>
  </w:footnote>
  <w:footnote w:type="continuationSeparator" w:id="0">
    <w:p w14:paraId="683BF4EC" w14:textId="77777777" w:rsidR="003D4B0D" w:rsidRDefault="003D4B0D" w:rsidP="003D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8CA"/>
    <w:multiLevelType w:val="hybridMultilevel"/>
    <w:tmpl w:val="D332C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90AFA"/>
    <w:multiLevelType w:val="hybridMultilevel"/>
    <w:tmpl w:val="585E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05D4B"/>
    <w:multiLevelType w:val="hybridMultilevel"/>
    <w:tmpl w:val="7EAC1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7397F"/>
    <w:multiLevelType w:val="hybridMultilevel"/>
    <w:tmpl w:val="30209C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B55CB"/>
    <w:multiLevelType w:val="hybridMultilevel"/>
    <w:tmpl w:val="2F12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E3FCD"/>
    <w:multiLevelType w:val="hybridMultilevel"/>
    <w:tmpl w:val="DF9CE7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328D3"/>
    <w:multiLevelType w:val="hybridMultilevel"/>
    <w:tmpl w:val="032AE2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B319A"/>
    <w:multiLevelType w:val="hybridMultilevel"/>
    <w:tmpl w:val="4F5AC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C4D46"/>
    <w:multiLevelType w:val="hybridMultilevel"/>
    <w:tmpl w:val="585E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83C30"/>
    <w:multiLevelType w:val="hybridMultilevel"/>
    <w:tmpl w:val="DAB271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63E31"/>
    <w:multiLevelType w:val="hybridMultilevel"/>
    <w:tmpl w:val="9AB49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56EC"/>
    <w:multiLevelType w:val="hybridMultilevel"/>
    <w:tmpl w:val="BE10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4708"/>
    <w:multiLevelType w:val="hybridMultilevel"/>
    <w:tmpl w:val="8A86C0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14857"/>
    <w:multiLevelType w:val="hybridMultilevel"/>
    <w:tmpl w:val="6DF0F0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E2FF9"/>
    <w:multiLevelType w:val="hybridMultilevel"/>
    <w:tmpl w:val="B7BAE4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7563F"/>
    <w:multiLevelType w:val="hybridMultilevel"/>
    <w:tmpl w:val="7012EE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7817B9"/>
    <w:multiLevelType w:val="hybridMultilevel"/>
    <w:tmpl w:val="585E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FC6E0A"/>
    <w:multiLevelType w:val="hybridMultilevel"/>
    <w:tmpl w:val="9042B4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860DC1"/>
    <w:multiLevelType w:val="hybridMultilevel"/>
    <w:tmpl w:val="F15874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154D9F"/>
    <w:multiLevelType w:val="hybridMultilevel"/>
    <w:tmpl w:val="5E4848DC"/>
    <w:lvl w:ilvl="0" w:tplc="A4ACE31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02099"/>
    <w:multiLevelType w:val="hybridMultilevel"/>
    <w:tmpl w:val="A51A5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A19DB"/>
    <w:multiLevelType w:val="hybridMultilevel"/>
    <w:tmpl w:val="F25675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86263"/>
    <w:multiLevelType w:val="hybridMultilevel"/>
    <w:tmpl w:val="A128FE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122259"/>
    <w:multiLevelType w:val="hybridMultilevel"/>
    <w:tmpl w:val="0F546C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345FA"/>
    <w:multiLevelType w:val="hybridMultilevel"/>
    <w:tmpl w:val="AFC6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E4466"/>
    <w:multiLevelType w:val="hybridMultilevel"/>
    <w:tmpl w:val="E5CC5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264211">
    <w:abstractNumId w:val="7"/>
  </w:num>
  <w:num w:numId="2" w16cid:durableId="119150205">
    <w:abstractNumId w:val="17"/>
  </w:num>
  <w:num w:numId="3" w16cid:durableId="2070302205">
    <w:abstractNumId w:val="15"/>
  </w:num>
  <w:num w:numId="4" w16cid:durableId="604384534">
    <w:abstractNumId w:val="25"/>
  </w:num>
  <w:num w:numId="5" w16cid:durableId="1680084005">
    <w:abstractNumId w:val="12"/>
  </w:num>
  <w:num w:numId="6" w16cid:durableId="312031391">
    <w:abstractNumId w:val="10"/>
  </w:num>
  <w:num w:numId="7" w16cid:durableId="1590231260">
    <w:abstractNumId w:val="3"/>
  </w:num>
  <w:num w:numId="8" w16cid:durableId="610674202">
    <w:abstractNumId w:val="13"/>
  </w:num>
  <w:num w:numId="9" w16cid:durableId="1560364364">
    <w:abstractNumId w:val="19"/>
  </w:num>
  <w:num w:numId="10" w16cid:durableId="1021781505">
    <w:abstractNumId w:val="2"/>
  </w:num>
  <w:num w:numId="11" w16cid:durableId="917440968">
    <w:abstractNumId w:val="18"/>
  </w:num>
  <w:num w:numId="12" w16cid:durableId="1658806648">
    <w:abstractNumId w:val="6"/>
  </w:num>
  <w:num w:numId="13" w16cid:durableId="224536595">
    <w:abstractNumId w:val="0"/>
  </w:num>
  <w:num w:numId="14" w16cid:durableId="358362455">
    <w:abstractNumId w:val="20"/>
  </w:num>
  <w:num w:numId="15" w16cid:durableId="810488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494827">
    <w:abstractNumId w:val="16"/>
  </w:num>
  <w:num w:numId="17" w16cid:durableId="1595899415">
    <w:abstractNumId w:val="1"/>
  </w:num>
  <w:num w:numId="18" w16cid:durableId="320931094">
    <w:abstractNumId w:val="11"/>
  </w:num>
  <w:num w:numId="19" w16cid:durableId="978415077">
    <w:abstractNumId w:val="14"/>
  </w:num>
  <w:num w:numId="20" w16cid:durableId="657463465">
    <w:abstractNumId w:val="23"/>
  </w:num>
  <w:num w:numId="21" w16cid:durableId="1350335561">
    <w:abstractNumId w:val="22"/>
  </w:num>
  <w:num w:numId="22" w16cid:durableId="1276014935">
    <w:abstractNumId w:val="21"/>
  </w:num>
  <w:num w:numId="23" w16cid:durableId="1490056183">
    <w:abstractNumId w:val="5"/>
  </w:num>
  <w:num w:numId="24" w16cid:durableId="178586341">
    <w:abstractNumId w:val="9"/>
  </w:num>
  <w:num w:numId="25" w16cid:durableId="953754799">
    <w:abstractNumId w:val="24"/>
  </w:num>
  <w:num w:numId="26" w16cid:durableId="1342589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97"/>
    <w:rsid w:val="00002433"/>
    <w:rsid w:val="00012530"/>
    <w:rsid w:val="00012ED7"/>
    <w:rsid w:val="000131E6"/>
    <w:rsid w:val="00020BBB"/>
    <w:rsid w:val="000475D8"/>
    <w:rsid w:val="00055335"/>
    <w:rsid w:val="0006500C"/>
    <w:rsid w:val="00080F68"/>
    <w:rsid w:val="00082D6E"/>
    <w:rsid w:val="000A5AC1"/>
    <w:rsid w:val="000B5F6A"/>
    <w:rsid w:val="000D033E"/>
    <w:rsid w:val="000D33D4"/>
    <w:rsid w:val="000E30EC"/>
    <w:rsid w:val="00113CBF"/>
    <w:rsid w:val="00113D4F"/>
    <w:rsid w:val="00142836"/>
    <w:rsid w:val="001543ED"/>
    <w:rsid w:val="00167FDE"/>
    <w:rsid w:val="0017760B"/>
    <w:rsid w:val="00196228"/>
    <w:rsid w:val="001B080A"/>
    <w:rsid w:val="001B3918"/>
    <w:rsid w:val="001D06C3"/>
    <w:rsid w:val="001E6214"/>
    <w:rsid w:val="00202BF8"/>
    <w:rsid w:val="00213619"/>
    <w:rsid w:val="00213FE5"/>
    <w:rsid w:val="00216006"/>
    <w:rsid w:val="00263F35"/>
    <w:rsid w:val="00271350"/>
    <w:rsid w:val="00290F4B"/>
    <w:rsid w:val="002A4C6E"/>
    <w:rsid w:val="002D1255"/>
    <w:rsid w:val="002E0563"/>
    <w:rsid w:val="003436D2"/>
    <w:rsid w:val="003563E1"/>
    <w:rsid w:val="00356943"/>
    <w:rsid w:val="0036226F"/>
    <w:rsid w:val="00363C57"/>
    <w:rsid w:val="00373C11"/>
    <w:rsid w:val="00376F65"/>
    <w:rsid w:val="00390C74"/>
    <w:rsid w:val="00396BCB"/>
    <w:rsid w:val="00397BA1"/>
    <w:rsid w:val="003D1B06"/>
    <w:rsid w:val="003D4B0D"/>
    <w:rsid w:val="003F6D36"/>
    <w:rsid w:val="004403F0"/>
    <w:rsid w:val="00467FB2"/>
    <w:rsid w:val="00487F54"/>
    <w:rsid w:val="00493166"/>
    <w:rsid w:val="004952A7"/>
    <w:rsid w:val="004B2EEE"/>
    <w:rsid w:val="004C2EC8"/>
    <w:rsid w:val="004D7535"/>
    <w:rsid w:val="005053E7"/>
    <w:rsid w:val="005162BE"/>
    <w:rsid w:val="0052666F"/>
    <w:rsid w:val="00552CC0"/>
    <w:rsid w:val="0055684E"/>
    <w:rsid w:val="00564070"/>
    <w:rsid w:val="0057161A"/>
    <w:rsid w:val="00576DB7"/>
    <w:rsid w:val="005C2FB1"/>
    <w:rsid w:val="005D1697"/>
    <w:rsid w:val="005D7ECB"/>
    <w:rsid w:val="005E6774"/>
    <w:rsid w:val="00603D05"/>
    <w:rsid w:val="006111AD"/>
    <w:rsid w:val="006175BA"/>
    <w:rsid w:val="00627242"/>
    <w:rsid w:val="00630292"/>
    <w:rsid w:val="006321CF"/>
    <w:rsid w:val="00643B75"/>
    <w:rsid w:val="00652A5C"/>
    <w:rsid w:val="00672DC0"/>
    <w:rsid w:val="00675788"/>
    <w:rsid w:val="006863E6"/>
    <w:rsid w:val="006B7EA5"/>
    <w:rsid w:val="006C5462"/>
    <w:rsid w:val="006E4E99"/>
    <w:rsid w:val="006F6398"/>
    <w:rsid w:val="00723428"/>
    <w:rsid w:val="00754B13"/>
    <w:rsid w:val="0075661C"/>
    <w:rsid w:val="00763D41"/>
    <w:rsid w:val="00777E91"/>
    <w:rsid w:val="007B579A"/>
    <w:rsid w:val="007C0707"/>
    <w:rsid w:val="008035CD"/>
    <w:rsid w:val="00814EC8"/>
    <w:rsid w:val="00835410"/>
    <w:rsid w:val="008664EC"/>
    <w:rsid w:val="008C7528"/>
    <w:rsid w:val="008D694A"/>
    <w:rsid w:val="008E4C2B"/>
    <w:rsid w:val="00903EFC"/>
    <w:rsid w:val="009136D8"/>
    <w:rsid w:val="00915457"/>
    <w:rsid w:val="00921982"/>
    <w:rsid w:val="00935AC3"/>
    <w:rsid w:val="009361BD"/>
    <w:rsid w:val="0094204D"/>
    <w:rsid w:val="0095320A"/>
    <w:rsid w:val="009705C3"/>
    <w:rsid w:val="00971ED5"/>
    <w:rsid w:val="009965CA"/>
    <w:rsid w:val="009B652C"/>
    <w:rsid w:val="009D7234"/>
    <w:rsid w:val="009E4DBF"/>
    <w:rsid w:val="009F0252"/>
    <w:rsid w:val="00A007C7"/>
    <w:rsid w:val="00A240F2"/>
    <w:rsid w:val="00A6386C"/>
    <w:rsid w:val="00A6418E"/>
    <w:rsid w:val="00A8738E"/>
    <w:rsid w:val="00AB4FF2"/>
    <w:rsid w:val="00B06BDC"/>
    <w:rsid w:val="00B213D7"/>
    <w:rsid w:val="00B5184F"/>
    <w:rsid w:val="00B83CBF"/>
    <w:rsid w:val="00B86A66"/>
    <w:rsid w:val="00BC2B78"/>
    <w:rsid w:val="00BC4D97"/>
    <w:rsid w:val="00BD5973"/>
    <w:rsid w:val="00BD5A42"/>
    <w:rsid w:val="00C14BE8"/>
    <w:rsid w:val="00C34DA3"/>
    <w:rsid w:val="00C4224D"/>
    <w:rsid w:val="00C44824"/>
    <w:rsid w:val="00C60A8B"/>
    <w:rsid w:val="00CA5872"/>
    <w:rsid w:val="00CB5305"/>
    <w:rsid w:val="00CB5D19"/>
    <w:rsid w:val="00CC2563"/>
    <w:rsid w:val="00D00BD3"/>
    <w:rsid w:val="00D15749"/>
    <w:rsid w:val="00D55452"/>
    <w:rsid w:val="00D659C8"/>
    <w:rsid w:val="00D7124D"/>
    <w:rsid w:val="00D81725"/>
    <w:rsid w:val="00D819E0"/>
    <w:rsid w:val="00DC673E"/>
    <w:rsid w:val="00DE3A5D"/>
    <w:rsid w:val="00DE77D9"/>
    <w:rsid w:val="00DF6D15"/>
    <w:rsid w:val="00E1455F"/>
    <w:rsid w:val="00E1557E"/>
    <w:rsid w:val="00E3063D"/>
    <w:rsid w:val="00E42ADD"/>
    <w:rsid w:val="00E558CC"/>
    <w:rsid w:val="00E62C33"/>
    <w:rsid w:val="00E6643F"/>
    <w:rsid w:val="00E815FE"/>
    <w:rsid w:val="00E8522E"/>
    <w:rsid w:val="00E905F1"/>
    <w:rsid w:val="00E90C17"/>
    <w:rsid w:val="00E9378D"/>
    <w:rsid w:val="00E9392F"/>
    <w:rsid w:val="00E969C9"/>
    <w:rsid w:val="00EE012F"/>
    <w:rsid w:val="00F70BBA"/>
    <w:rsid w:val="00F726FE"/>
    <w:rsid w:val="00F75236"/>
    <w:rsid w:val="00F752A0"/>
    <w:rsid w:val="00F978ED"/>
    <w:rsid w:val="00FB435F"/>
    <w:rsid w:val="00FB4FEB"/>
    <w:rsid w:val="00FD58AD"/>
    <w:rsid w:val="00FD7734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A175"/>
  <w15:chartTrackingRefBased/>
  <w15:docId w15:val="{63C5073A-0C2C-4AF5-AEE8-FBD1701D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62C3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36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361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6321CF"/>
    <w:rPr>
      <w:color w:val="0000FF"/>
      <w:u w:val="single"/>
    </w:rPr>
  </w:style>
  <w:style w:type="character" w:customStyle="1" w:styleId="garyochavez">
    <w:name w:val="garyo.chavez"/>
    <w:semiHidden/>
    <w:rsid w:val="006E4E99"/>
    <w:rPr>
      <w:rFonts w:ascii="Comic Sans MS" w:hAnsi="Comic Sans MS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5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9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ns.usda.gov/csfp/racialethnic-group-participation-commodity-supplemental-food-program-fns-instruction-113-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4F85424857346901ABC3DFC99C7E2" ma:contentTypeVersion="0" ma:contentTypeDescription="Create a new document." ma:contentTypeScope="" ma:versionID="4ef69a40896133267b57a17476764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78a9b201f8f5a9cfbf367504aaa8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1BE63C-47DF-49A0-9457-3108AE57D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FCC7C-0A4A-47EF-A6C3-95BB287A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C8992-04AD-412B-9AE7-F27789EDE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4E54A-2665-4990-994B-3670663A29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 Systems RFP – 00-665-00-65874 - Questions and Answers (draft)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 Systems RFP – 00-665-00-65874 - Questions and Answers (draft)</dc:title>
  <dc:subject/>
  <dc:creator>setup</dc:creator>
  <cp:keywords/>
  <cp:lastModifiedBy>Sisneros, Andrea, HSD</cp:lastModifiedBy>
  <cp:revision>2</cp:revision>
  <cp:lastPrinted>2010-05-21T19:18:00Z</cp:lastPrinted>
  <dcterms:created xsi:type="dcterms:W3CDTF">2023-08-25T22:35:00Z</dcterms:created>
  <dcterms:modified xsi:type="dcterms:W3CDTF">2023-08-25T22:35:00Z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Chavez, Gary</vt:lpwstr>
  </property>
  <property fmtid="{D5CDD505-2E9C-101B-9397-08002B2CF9AE}" pid="3" name="Order">
    <vt:lpwstr>5236600.00000000</vt:lpwstr>
  </property>
  <property fmtid="{D5CDD505-2E9C-101B-9397-08002B2CF9AE}" pid="4" name="display_urn:schemas-microsoft-com:office:office#Author">
    <vt:lpwstr>Chavez, Gary</vt:lpwstr>
  </property>
</Properties>
</file>