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88" w:rsidRPr="00B0134B" w:rsidRDefault="00856F60" w:rsidP="00F725F5">
      <w:pPr>
        <w:tabs>
          <w:tab w:val="left" w:pos="4860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B0134B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-588645</wp:posOffset>
            </wp:positionV>
            <wp:extent cx="1424940" cy="5905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288" w:rsidRPr="00B0134B">
        <w:rPr>
          <w:b/>
          <w:sz w:val="40"/>
          <w:szCs w:val="40"/>
        </w:rPr>
        <w:t>Temporary Assistance to Needy Families</w:t>
      </w:r>
    </w:p>
    <w:p w:rsidR="00856F60" w:rsidRPr="00B0134B" w:rsidRDefault="001D76BD" w:rsidP="00AC0B3C">
      <w:pPr>
        <w:tabs>
          <w:tab w:val="left" w:pos="930"/>
          <w:tab w:val="left" w:pos="975"/>
          <w:tab w:val="left" w:pos="1110"/>
          <w:tab w:val="center" w:pos="5544"/>
        </w:tabs>
        <w:jc w:val="center"/>
        <w:rPr>
          <w:b/>
          <w:sz w:val="40"/>
          <w:szCs w:val="40"/>
        </w:rPr>
      </w:pPr>
      <w:r w:rsidRPr="00B0134B">
        <w:rPr>
          <w:b/>
          <w:sz w:val="40"/>
          <w:szCs w:val="40"/>
        </w:rPr>
        <w:t>(</w:t>
      </w:r>
      <w:r w:rsidR="00D83288" w:rsidRPr="00B0134B">
        <w:rPr>
          <w:b/>
          <w:sz w:val="40"/>
          <w:szCs w:val="40"/>
        </w:rPr>
        <w:t>TANF</w:t>
      </w:r>
      <w:r w:rsidRPr="00B0134B">
        <w:rPr>
          <w:b/>
          <w:sz w:val="40"/>
          <w:szCs w:val="40"/>
        </w:rPr>
        <w:t>)</w:t>
      </w:r>
    </w:p>
    <w:p w:rsidR="0025022D" w:rsidRPr="00B0134B" w:rsidRDefault="0025022D" w:rsidP="00AC0B3C">
      <w:pPr>
        <w:tabs>
          <w:tab w:val="left" w:pos="930"/>
          <w:tab w:val="left" w:pos="975"/>
          <w:tab w:val="left" w:pos="1110"/>
          <w:tab w:val="center" w:pos="5544"/>
        </w:tabs>
        <w:jc w:val="center"/>
        <w:rPr>
          <w:b/>
          <w:sz w:val="40"/>
          <w:szCs w:val="40"/>
        </w:rPr>
      </w:pPr>
      <w:r w:rsidRPr="00B0134B">
        <w:rPr>
          <w:b/>
          <w:sz w:val="40"/>
          <w:szCs w:val="40"/>
        </w:rPr>
        <w:t>New Mexico Works (</w:t>
      </w:r>
      <w:proofErr w:type="spellStart"/>
      <w:r w:rsidRPr="00B0134B">
        <w:rPr>
          <w:b/>
          <w:sz w:val="40"/>
          <w:szCs w:val="40"/>
        </w:rPr>
        <w:t>NMW</w:t>
      </w:r>
      <w:proofErr w:type="spellEnd"/>
      <w:r w:rsidRPr="00B0134B">
        <w:rPr>
          <w:b/>
          <w:sz w:val="40"/>
          <w:szCs w:val="40"/>
        </w:rPr>
        <w:t>)</w:t>
      </w:r>
    </w:p>
    <w:p w:rsidR="00D83288" w:rsidRDefault="00D83288" w:rsidP="00AC0B3C">
      <w:pPr>
        <w:tabs>
          <w:tab w:val="left" w:pos="930"/>
          <w:tab w:val="left" w:pos="975"/>
          <w:tab w:val="left" w:pos="1110"/>
          <w:tab w:val="center" w:pos="5544"/>
        </w:tabs>
        <w:jc w:val="center"/>
        <w:rPr>
          <w:sz w:val="40"/>
          <w:szCs w:val="40"/>
        </w:rPr>
      </w:pPr>
      <w:r w:rsidRPr="00B0134B">
        <w:rPr>
          <w:b/>
          <w:sz w:val="40"/>
          <w:szCs w:val="40"/>
        </w:rPr>
        <w:t>Fact Sheet</w:t>
      </w:r>
    </w:p>
    <w:p w:rsidR="00856F60" w:rsidRPr="00856F60" w:rsidRDefault="00856F60" w:rsidP="00AC0B3C">
      <w:pPr>
        <w:tabs>
          <w:tab w:val="left" w:pos="930"/>
          <w:tab w:val="left" w:pos="975"/>
          <w:tab w:val="left" w:pos="1110"/>
          <w:tab w:val="center" w:pos="5544"/>
        </w:tabs>
        <w:jc w:val="center"/>
        <w:rPr>
          <w:sz w:val="40"/>
          <w:szCs w:val="40"/>
        </w:rPr>
      </w:pPr>
    </w:p>
    <w:p w:rsidR="00856F60" w:rsidRPr="00856F60" w:rsidRDefault="00856F60" w:rsidP="00856F60">
      <w:pPr>
        <w:pStyle w:val="ListParagraph"/>
        <w:numPr>
          <w:ilvl w:val="0"/>
          <w:numId w:val="36"/>
        </w:numPr>
        <w:ind w:left="360"/>
        <w:rPr>
          <w:b/>
          <w:sz w:val="22"/>
          <w:szCs w:val="22"/>
        </w:rPr>
      </w:pPr>
      <w:r w:rsidRPr="00856F60">
        <w:rPr>
          <w:b/>
          <w:sz w:val="22"/>
          <w:szCs w:val="22"/>
        </w:rPr>
        <w:t>What is Temporary Assistance to Needy Families (TANF)?</w:t>
      </w:r>
    </w:p>
    <w:p w:rsidR="00EB7A5D" w:rsidRPr="00856F60" w:rsidRDefault="00EB7A5D" w:rsidP="00797658">
      <w:pPr>
        <w:rPr>
          <w:sz w:val="22"/>
          <w:szCs w:val="22"/>
        </w:rPr>
      </w:pPr>
    </w:p>
    <w:p w:rsidR="00797658" w:rsidRPr="00856F60" w:rsidRDefault="00797658" w:rsidP="000B3E0F">
      <w:pPr>
        <w:jc w:val="both"/>
        <w:rPr>
          <w:sz w:val="22"/>
          <w:szCs w:val="22"/>
        </w:rPr>
      </w:pPr>
      <w:r w:rsidRPr="00856F60">
        <w:rPr>
          <w:sz w:val="22"/>
          <w:szCs w:val="22"/>
        </w:rPr>
        <w:t>Temporary Assistance to Needy Families (TANF) is a block grant administered by the U</w:t>
      </w:r>
      <w:r w:rsidR="00856F60">
        <w:rPr>
          <w:sz w:val="22"/>
          <w:szCs w:val="22"/>
        </w:rPr>
        <w:t>.</w:t>
      </w:r>
      <w:r w:rsidRPr="00856F60">
        <w:rPr>
          <w:sz w:val="22"/>
          <w:szCs w:val="22"/>
        </w:rPr>
        <w:t>S</w:t>
      </w:r>
      <w:r w:rsidR="00856F60">
        <w:rPr>
          <w:sz w:val="22"/>
          <w:szCs w:val="22"/>
        </w:rPr>
        <w:t>.</w:t>
      </w:r>
      <w:r w:rsidRPr="00856F60">
        <w:rPr>
          <w:sz w:val="22"/>
          <w:szCs w:val="22"/>
        </w:rPr>
        <w:t xml:space="preserve"> Department of Health and Human Services (HHS).  TANF provides cash assistance and work opportunities to needy families.</w:t>
      </w:r>
      <w:r w:rsidR="00A41B30" w:rsidRPr="00856F60">
        <w:rPr>
          <w:sz w:val="22"/>
          <w:szCs w:val="22"/>
        </w:rPr>
        <w:t xml:space="preserve">  The TANF program in New Mexico </w:t>
      </w:r>
      <w:proofErr w:type="gramStart"/>
      <w:r w:rsidR="00A41B30" w:rsidRPr="00856F60">
        <w:rPr>
          <w:sz w:val="22"/>
          <w:szCs w:val="22"/>
        </w:rPr>
        <w:t>is referred</w:t>
      </w:r>
      <w:proofErr w:type="gramEnd"/>
      <w:r w:rsidR="00A41B30" w:rsidRPr="00856F60">
        <w:rPr>
          <w:sz w:val="22"/>
          <w:szCs w:val="22"/>
        </w:rPr>
        <w:t xml:space="preserve"> to as the New Mexico Works (</w:t>
      </w:r>
      <w:proofErr w:type="spellStart"/>
      <w:r w:rsidR="00A41B30" w:rsidRPr="00856F60">
        <w:rPr>
          <w:sz w:val="22"/>
          <w:szCs w:val="22"/>
        </w:rPr>
        <w:t>NMW</w:t>
      </w:r>
      <w:proofErr w:type="spellEnd"/>
      <w:r w:rsidR="00A41B30" w:rsidRPr="00856F60">
        <w:rPr>
          <w:sz w:val="22"/>
          <w:szCs w:val="22"/>
        </w:rPr>
        <w:t>) program.</w:t>
      </w:r>
    </w:p>
    <w:p w:rsidR="00DF4C9D" w:rsidRPr="00856F60" w:rsidRDefault="00DF4C9D" w:rsidP="00797658">
      <w:pPr>
        <w:rPr>
          <w:sz w:val="22"/>
          <w:szCs w:val="22"/>
        </w:rPr>
      </w:pPr>
    </w:p>
    <w:p w:rsidR="00DF4C9D" w:rsidRDefault="00DF4C9D" w:rsidP="00856F60">
      <w:pPr>
        <w:pStyle w:val="ListParagraph"/>
        <w:numPr>
          <w:ilvl w:val="0"/>
          <w:numId w:val="36"/>
        </w:numPr>
        <w:ind w:left="360"/>
        <w:rPr>
          <w:b/>
          <w:sz w:val="22"/>
          <w:szCs w:val="22"/>
        </w:rPr>
      </w:pPr>
      <w:r w:rsidRPr="00856F60">
        <w:rPr>
          <w:b/>
          <w:sz w:val="22"/>
          <w:szCs w:val="22"/>
        </w:rPr>
        <w:t>History of TANF</w:t>
      </w:r>
    </w:p>
    <w:p w:rsidR="00856F60" w:rsidRPr="00856F60" w:rsidRDefault="00856F60" w:rsidP="00856F60">
      <w:pPr>
        <w:pStyle w:val="ListParagraph"/>
        <w:ind w:left="360"/>
        <w:rPr>
          <w:b/>
          <w:sz w:val="22"/>
          <w:szCs w:val="22"/>
        </w:rPr>
      </w:pPr>
    </w:p>
    <w:p w:rsidR="00DF4C9D" w:rsidRPr="00856F60" w:rsidRDefault="00DF4C9D" w:rsidP="000B3E0F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856F60">
        <w:rPr>
          <w:sz w:val="22"/>
          <w:szCs w:val="22"/>
        </w:rPr>
        <w:t>1996</w:t>
      </w:r>
      <w:proofErr w:type="gramEnd"/>
      <w:r w:rsidRPr="00856F60">
        <w:rPr>
          <w:sz w:val="22"/>
          <w:szCs w:val="22"/>
        </w:rPr>
        <w:t xml:space="preserve"> </w:t>
      </w:r>
      <w:proofErr w:type="spellStart"/>
      <w:r w:rsidRPr="00856F60">
        <w:rPr>
          <w:sz w:val="22"/>
          <w:szCs w:val="22"/>
        </w:rPr>
        <w:t>PRWORA</w:t>
      </w:r>
      <w:proofErr w:type="spellEnd"/>
      <w:r w:rsidRPr="00856F60">
        <w:rPr>
          <w:sz w:val="22"/>
          <w:szCs w:val="22"/>
        </w:rPr>
        <w:t xml:space="preserve"> replaced </w:t>
      </w:r>
      <w:r w:rsidR="00856F60">
        <w:rPr>
          <w:sz w:val="22"/>
          <w:szCs w:val="22"/>
        </w:rPr>
        <w:t>Aid to Families with Dependent Children (</w:t>
      </w:r>
      <w:r w:rsidRPr="00856F60">
        <w:rPr>
          <w:sz w:val="22"/>
          <w:szCs w:val="22"/>
        </w:rPr>
        <w:t>AFDC</w:t>
      </w:r>
      <w:r w:rsidR="00856F60">
        <w:rPr>
          <w:sz w:val="22"/>
          <w:szCs w:val="22"/>
        </w:rPr>
        <w:t>)</w:t>
      </w:r>
      <w:r w:rsidR="00BB52B7">
        <w:rPr>
          <w:sz w:val="22"/>
          <w:szCs w:val="22"/>
        </w:rPr>
        <w:t xml:space="preserve"> with TANF.</w:t>
      </w:r>
    </w:p>
    <w:p w:rsidR="00DF4C9D" w:rsidRPr="00856F60" w:rsidRDefault="00DF4C9D" w:rsidP="000B3E0F">
      <w:pPr>
        <w:numPr>
          <w:ilvl w:val="0"/>
          <w:numId w:val="2"/>
        </w:numPr>
        <w:jc w:val="both"/>
        <w:rPr>
          <w:sz w:val="22"/>
          <w:szCs w:val="22"/>
        </w:rPr>
      </w:pPr>
      <w:r w:rsidRPr="00856F60">
        <w:rPr>
          <w:sz w:val="22"/>
          <w:szCs w:val="22"/>
        </w:rPr>
        <w:t>States develop and implement their own TANF cash and work program</w:t>
      </w:r>
      <w:r w:rsidR="00BB52B7">
        <w:rPr>
          <w:sz w:val="22"/>
          <w:szCs w:val="22"/>
        </w:rPr>
        <w:t>.</w:t>
      </w:r>
    </w:p>
    <w:p w:rsidR="00DF4C9D" w:rsidRPr="00856F60" w:rsidRDefault="00DF4C9D" w:rsidP="000B3E0F">
      <w:pPr>
        <w:numPr>
          <w:ilvl w:val="0"/>
          <w:numId w:val="2"/>
        </w:numPr>
        <w:jc w:val="both"/>
        <w:rPr>
          <w:sz w:val="22"/>
          <w:szCs w:val="22"/>
        </w:rPr>
      </w:pPr>
      <w:r w:rsidRPr="00856F60">
        <w:rPr>
          <w:sz w:val="22"/>
          <w:szCs w:val="22"/>
        </w:rPr>
        <w:t>The federal Deficit Reduction Act of 2005 (</w:t>
      </w:r>
      <w:proofErr w:type="spellStart"/>
      <w:r w:rsidRPr="00856F60">
        <w:rPr>
          <w:sz w:val="22"/>
          <w:szCs w:val="22"/>
        </w:rPr>
        <w:t>DRA</w:t>
      </w:r>
      <w:proofErr w:type="spellEnd"/>
      <w:r w:rsidRPr="00856F60">
        <w:rPr>
          <w:sz w:val="22"/>
          <w:szCs w:val="22"/>
        </w:rPr>
        <w:t>) reauthorized TANF</w:t>
      </w:r>
      <w:r w:rsidR="00BB52B7">
        <w:rPr>
          <w:sz w:val="22"/>
          <w:szCs w:val="22"/>
        </w:rPr>
        <w:t>.</w:t>
      </w:r>
    </w:p>
    <w:p w:rsidR="00DF4C9D" w:rsidRPr="00856F60" w:rsidRDefault="00DF4C9D" w:rsidP="000B3E0F">
      <w:pPr>
        <w:numPr>
          <w:ilvl w:val="0"/>
          <w:numId w:val="2"/>
        </w:numPr>
        <w:jc w:val="both"/>
        <w:rPr>
          <w:sz w:val="22"/>
          <w:szCs w:val="22"/>
        </w:rPr>
      </w:pPr>
      <w:r w:rsidRPr="00856F60">
        <w:rPr>
          <w:sz w:val="22"/>
          <w:szCs w:val="22"/>
        </w:rPr>
        <w:t xml:space="preserve">The </w:t>
      </w:r>
      <w:proofErr w:type="spellStart"/>
      <w:r w:rsidRPr="00856F60">
        <w:rPr>
          <w:sz w:val="22"/>
          <w:szCs w:val="22"/>
        </w:rPr>
        <w:t>DRA</w:t>
      </w:r>
      <w:proofErr w:type="spellEnd"/>
      <w:r w:rsidRPr="00856F60">
        <w:rPr>
          <w:sz w:val="22"/>
          <w:szCs w:val="22"/>
        </w:rPr>
        <w:t xml:space="preserve"> and related interim final rules issued by HHS introduced new requirements on states and stricter requirements on work program compliance</w:t>
      </w:r>
      <w:r w:rsidR="00BB52B7">
        <w:rPr>
          <w:sz w:val="22"/>
          <w:szCs w:val="22"/>
        </w:rPr>
        <w:t>.</w:t>
      </w:r>
    </w:p>
    <w:p w:rsidR="007D70DC" w:rsidRPr="00797658" w:rsidRDefault="007D70DC" w:rsidP="00797658"/>
    <w:p w:rsidR="0037780A" w:rsidRPr="00627523" w:rsidRDefault="0037780A" w:rsidP="0037780A">
      <w:pPr>
        <w:numPr>
          <w:ilvl w:val="0"/>
          <w:numId w:val="36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Four Goals of the </w:t>
      </w:r>
      <w:r w:rsidRPr="00627523">
        <w:rPr>
          <w:b/>
          <w:sz w:val="22"/>
          <w:szCs w:val="22"/>
        </w:rPr>
        <w:t xml:space="preserve">TANF Program </w:t>
      </w:r>
    </w:p>
    <w:p w:rsidR="0037780A" w:rsidRPr="00BB52B7" w:rsidRDefault="0037780A" w:rsidP="0037780A">
      <w:pPr>
        <w:ind w:left="360"/>
        <w:rPr>
          <w:sz w:val="22"/>
          <w:szCs w:val="22"/>
        </w:rPr>
      </w:pPr>
    </w:p>
    <w:p w:rsidR="0037780A" w:rsidRPr="00BB52B7" w:rsidRDefault="0037780A" w:rsidP="000B3E0F">
      <w:pPr>
        <w:numPr>
          <w:ilvl w:val="1"/>
          <w:numId w:val="38"/>
        </w:numPr>
        <w:tabs>
          <w:tab w:val="left" w:pos="1080"/>
        </w:tabs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Pr="00BB52B7">
        <w:rPr>
          <w:sz w:val="22"/>
          <w:szCs w:val="22"/>
        </w:rPr>
        <w:t>rovide assistance to</w:t>
      </w:r>
      <w:proofErr w:type="gramEnd"/>
      <w:r w:rsidRPr="00BB52B7">
        <w:rPr>
          <w:sz w:val="22"/>
          <w:szCs w:val="22"/>
        </w:rPr>
        <w:t xml:space="preserve"> needy families so that children may be cared for in their own home or a home of a relative</w:t>
      </w:r>
      <w:r>
        <w:rPr>
          <w:sz w:val="22"/>
          <w:szCs w:val="22"/>
        </w:rPr>
        <w:t>.</w:t>
      </w:r>
    </w:p>
    <w:p w:rsidR="0037780A" w:rsidRDefault="0037780A" w:rsidP="000B3E0F">
      <w:pPr>
        <w:numPr>
          <w:ilvl w:val="1"/>
          <w:numId w:val="38"/>
        </w:numPr>
        <w:tabs>
          <w:tab w:val="left" w:pos="1080"/>
        </w:tabs>
        <w:ind w:left="720"/>
        <w:jc w:val="both"/>
        <w:rPr>
          <w:sz w:val="22"/>
          <w:szCs w:val="22"/>
        </w:rPr>
      </w:pPr>
      <w:r w:rsidRPr="00BB52B7">
        <w:rPr>
          <w:sz w:val="22"/>
          <w:szCs w:val="22"/>
        </w:rPr>
        <w:t>End dependence of needy parents by promoting job preparation, work, and marriage</w:t>
      </w:r>
      <w:r>
        <w:rPr>
          <w:sz w:val="22"/>
          <w:szCs w:val="22"/>
        </w:rPr>
        <w:t>.</w:t>
      </w:r>
    </w:p>
    <w:p w:rsidR="0037780A" w:rsidRDefault="0037780A" w:rsidP="000B3E0F">
      <w:pPr>
        <w:numPr>
          <w:ilvl w:val="1"/>
          <w:numId w:val="38"/>
        </w:numPr>
        <w:tabs>
          <w:tab w:val="left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Prevent and reduce the incidence of out-of-wedlock pregnancies.</w:t>
      </w:r>
    </w:p>
    <w:p w:rsidR="0037780A" w:rsidRDefault="0037780A" w:rsidP="000B3E0F">
      <w:pPr>
        <w:numPr>
          <w:ilvl w:val="1"/>
          <w:numId w:val="38"/>
        </w:numPr>
        <w:tabs>
          <w:tab w:val="left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Encourage the formation and maintenance of two-parent families.</w:t>
      </w:r>
    </w:p>
    <w:p w:rsidR="0037780A" w:rsidRDefault="0037780A" w:rsidP="0037780A">
      <w:pPr>
        <w:tabs>
          <w:tab w:val="left" w:pos="1080"/>
        </w:tabs>
        <w:ind w:left="720"/>
        <w:rPr>
          <w:sz w:val="22"/>
          <w:szCs w:val="22"/>
        </w:rPr>
      </w:pPr>
    </w:p>
    <w:p w:rsidR="00D83288" w:rsidRPr="00BB52B7" w:rsidRDefault="00797658" w:rsidP="00BB52B7">
      <w:pPr>
        <w:numPr>
          <w:ilvl w:val="0"/>
          <w:numId w:val="36"/>
        </w:numPr>
        <w:ind w:left="360"/>
        <w:rPr>
          <w:b/>
          <w:sz w:val="22"/>
          <w:szCs w:val="22"/>
        </w:rPr>
      </w:pPr>
      <w:r w:rsidRPr="00BB52B7">
        <w:rPr>
          <w:b/>
          <w:sz w:val="22"/>
          <w:szCs w:val="22"/>
        </w:rPr>
        <w:t>Funding</w:t>
      </w:r>
    </w:p>
    <w:p w:rsidR="008760F7" w:rsidRPr="00BB52B7" w:rsidRDefault="008760F7" w:rsidP="008760F7">
      <w:pPr>
        <w:rPr>
          <w:sz w:val="22"/>
          <w:szCs w:val="22"/>
        </w:rPr>
      </w:pPr>
    </w:p>
    <w:p w:rsidR="008760F7" w:rsidRPr="00BB52B7" w:rsidRDefault="008760F7" w:rsidP="008760F7">
      <w:pPr>
        <w:numPr>
          <w:ilvl w:val="0"/>
          <w:numId w:val="2"/>
        </w:numPr>
        <w:rPr>
          <w:sz w:val="22"/>
          <w:szCs w:val="22"/>
        </w:rPr>
      </w:pPr>
      <w:r w:rsidRPr="00BB52B7">
        <w:rPr>
          <w:sz w:val="22"/>
          <w:szCs w:val="22"/>
        </w:rPr>
        <w:t>Total Federal</w:t>
      </w:r>
      <w:r w:rsidR="00FA7782" w:rsidRPr="00BB52B7">
        <w:rPr>
          <w:sz w:val="22"/>
          <w:szCs w:val="22"/>
        </w:rPr>
        <w:t xml:space="preserve"> Block</w:t>
      </w:r>
      <w:r w:rsidRPr="00BB52B7">
        <w:rPr>
          <w:sz w:val="22"/>
          <w:szCs w:val="22"/>
        </w:rPr>
        <w:t xml:space="preserve"> Grant – $</w:t>
      </w:r>
      <w:r w:rsidR="00F96E78" w:rsidRPr="00BB52B7">
        <w:rPr>
          <w:sz w:val="22"/>
          <w:szCs w:val="22"/>
        </w:rPr>
        <w:t>11</w:t>
      </w:r>
      <w:r w:rsidR="00EB7A5D" w:rsidRPr="00BB52B7">
        <w:rPr>
          <w:sz w:val="22"/>
          <w:szCs w:val="22"/>
        </w:rPr>
        <w:t>0,578.1</w:t>
      </w:r>
    </w:p>
    <w:p w:rsidR="008760F7" w:rsidRPr="00BB52B7" w:rsidRDefault="008760F7" w:rsidP="00BB52B7">
      <w:pPr>
        <w:numPr>
          <w:ilvl w:val="1"/>
          <w:numId w:val="37"/>
        </w:numPr>
        <w:rPr>
          <w:sz w:val="22"/>
          <w:szCs w:val="22"/>
        </w:rPr>
      </w:pPr>
      <w:r w:rsidRPr="00BB52B7">
        <w:rPr>
          <w:sz w:val="22"/>
          <w:szCs w:val="22"/>
        </w:rPr>
        <w:t>Base Grant $110,578.1</w:t>
      </w:r>
    </w:p>
    <w:p w:rsidR="001A7C40" w:rsidRPr="00084D9E" w:rsidRDefault="00FA7782" w:rsidP="00084D9E">
      <w:pPr>
        <w:pStyle w:val="ListParagraph"/>
        <w:numPr>
          <w:ilvl w:val="2"/>
          <w:numId w:val="37"/>
        </w:numPr>
        <w:tabs>
          <w:tab w:val="left" w:pos="1440"/>
        </w:tabs>
        <w:ind w:left="1440"/>
        <w:rPr>
          <w:sz w:val="22"/>
          <w:szCs w:val="22"/>
        </w:rPr>
      </w:pPr>
      <w:r w:rsidRPr="00084D9E">
        <w:rPr>
          <w:sz w:val="22"/>
          <w:szCs w:val="22"/>
        </w:rPr>
        <w:t>Maintenance of Effort (</w:t>
      </w:r>
      <w:r w:rsidR="008760F7" w:rsidRPr="00084D9E">
        <w:rPr>
          <w:sz w:val="22"/>
          <w:szCs w:val="22"/>
        </w:rPr>
        <w:t>MOE</w:t>
      </w:r>
      <w:r w:rsidRPr="00084D9E">
        <w:rPr>
          <w:sz w:val="22"/>
          <w:szCs w:val="22"/>
        </w:rPr>
        <w:t>)</w:t>
      </w:r>
      <w:r w:rsidR="008760F7" w:rsidRPr="00084D9E">
        <w:rPr>
          <w:sz w:val="22"/>
          <w:szCs w:val="22"/>
        </w:rPr>
        <w:t xml:space="preserve"> Requirement </w:t>
      </w:r>
      <w:r w:rsidR="00084D9E" w:rsidRPr="00084D9E">
        <w:rPr>
          <w:sz w:val="22"/>
          <w:szCs w:val="22"/>
        </w:rPr>
        <w:t xml:space="preserve">= </w:t>
      </w:r>
      <w:r w:rsidR="00624E05" w:rsidRPr="00084D9E">
        <w:rPr>
          <w:sz w:val="22"/>
          <w:szCs w:val="22"/>
        </w:rPr>
        <w:t>$</w:t>
      </w:r>
      <w:r w:rsidR="001A7C40" w:rsidRPr="00084D9E">
        <w:rPr>
          <w:sz w:val="22"/>
          <w:szCs w:val="22"/>
        </w:rPr>
        <w:t>34,931.5 (</w:t>
      </w:r>
      <w:r w:rsidR="00624E05" w:rsidRPr="00084D9E">
        <w:rPr>
          <w:sz w:val="22"/>
          <w:szCs w:val="22"/>
        </w:rPr>
        <w:t xml:space="preserve">80% of 1995 spending </w:t>
      </w:r>
      <w:r w:rsidR="001A7C40" w:rsidRPr="00084D9E">
        <w:rPr>
          <w:sz w:val="22"/>
          <w:szCs w:val="22"/>
        </w:rPr>
        <w:t>)</w:t>
      </w:r>
    </w:p>
    <w:p w:rsidR="00DF4C9D" w:rsidRPr="00BB3E49" w:rsidRDefault="008760F7" w:rsidP="00BB3E49">
      <w:pPr>
        <w:numPr>
          <w:ilvl w:val="0"/>
          <w:numId w:val="3"/>
        </w:numPr>
        <w:rPr>
          <w:sz w:val="22"/>
          <w:szCs w:val="22"/>
        </w:rPr>
      </w:pPr>
      <w:r w:rsidRPr="00BB3E49">
        <w:rPr>
          <w:sz w:val="22"/>
          <w:szCs w:val="22"/>
        </w:rPr>
        <w:t xml:space="preserve">In NM, TANF funds </w:t>
      </w:r>
      <w:proofErr w:type="gramStart"/>
      <w:r w:rsidRPr="00BB3E49">
        <w:rPr>
          <w:sz w:val="22"/>
          <w:szCs w:val="22"/>
        </w:rPr>
        <w:t>are appropriated</w:t>
      </w:r>
      <w:proofErr w:type="gramEnd"/>
      <w:r w:rsidRPr="00BB3E49">
        <w:rPr>
          <w:sz w:val="22"/>
          <w:szCs w:val="22"/>
        </w:rPr>
        <w:t xml:space="preserve"> by the Legislature</w:t>
      </w:r>
      <w:r w:rsidR="00BB3E49" w:rsidRPr="00BB3E49">
        <w:rPr>
          <w:sz w:val="22"/>
          <w:szCs w:val="22"/>
        </w:rPr>
        <w:t>.</w:t>
      </w:r>
    </w:p>
    <w:p w:rsidR="00664441" w:rsidRPr="00627523" w:rsidRDefault="00664441" w:rsidP="009D4793">
      <w:pPr>
        <w:ind w:left="720" w:hanging="360"/>
        <w:rPr>
          <w:b/>
          <w:sz w:val="22"/>
          <w:szCs w:val="22"/>
        </w:rPr>
      </w:pPr>
    </w:p>
    <w:p w:rsidR="00025800" w:rsidRPr="00F30232" w:rsidRDefault="003008A3" w:rsidP="009D4793">
      <w:pPr>
        <w:numPr>
          <w:ilvl w:val="0"/>
          <w:numId w:val="30"/>
        </w:numPr>
        <w:tabs>
          <w:tab w:val="num" w:pos="360"/>
        </w:tabs>
        <w:spacing w:after="120"/>
        <w:ind w:left="720"/>
        <w:rPr>
          <w:sz w:val="22"/>
          <w:szCs w:val="22"/>
          <w:u w:val="single"/>
        </w:rPr>
      </w:pPr>
      <w:r w:rsidRPr="00F30232">
        <w:rPr>
          <w:sz w:val="22"/>
          <w:szCs w:val="22"/>
          <w:u w:val="single"/>
        </w:rPr>
        <w:t>FY 1</w:t>
      </w:r>
      <w:r w:rsidR="00F30232" w:rsidRPr="00F30232">
        <w:rPr>
          <w:sz w:val="22"/>
          <w:szCs w:val="22"/>
          <w:u w:val="single"/>
        </w:rPr>
        <w:t>4</w:t>
      </w:r>
      <w:r w:rsidR="00A5444D" w:rsidRPr="00F30232">
        <w:rPr>
          <w:sz w:val="22"/>
          <w:szCs w:val="22"/>
          <w:u w:val="single"/>
        </w:rPr>
        <w:t xml:space="preserve"> </w:t>
      </w:r>
      <w:r w:rsidRPr="00F30232">
        <w:rPr>
          <w:sz w:val="22"/>
          <w:szCs w:val="22"/>
          <w:u w:val="single"/>
        </w:rPr>
        <w:t>Projected Revenue</w:t>
      </w:r>
      <w:r w:rsidR="0025022D" w:rsidRPr="00F30232">
        <w:rPr>
          <w:sz w:val="22"/>
          <w:szCs w:val="22"/>
          <w:u w:val="single"/>
        </w:rPr>
        <w:t xml:space="preserve"> 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260"/>
        <w:gridCol w:w="1980"/>
        <w:gridCol w:w="1260"/>
      </w:tblGrid>
      <w:tr w:rsidR="001A7257" w:rsidRPr="00ED041E" w:rsidTr="001A7257">
        <w:trPr>
          <w:trHeight w:val="395"/>
          <w:tblHeader/>
        </w:trPr>
        <w:tc>
          <w:tcPr>
            <w:tcW w:w="4680" w:type="dxa"/>
            <w:vMerge w:val="restart"/>
            <w:shd w:val="clear" w:color="auto" w:fill="FDE9D9" w:themeFill="accent6" w:themeFillTint="33"/>
            <w:noWrap/>
            <w:vAlign w:val="center"/>
          </w:tcPr>
          <w:p w:rsidR="001A7257" w:rsidRPr="000B3E0F" w:rsidRDefault="001A7257" w:rsidP="00025800">
            <w:pPr>
              <w:jc w:val="center"/>
              <w:rPr>
                <w:b/>
                <w:bCs/>
                <w:sz w:val="22"/>
                <w:szCs w:val="22"/>
              </w:rPr>
            </w:pPr>
            <w:r w:rsidRPr="000B3E0F">
              <w:rPr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4500" w:type="dxa"/>
            <w:gridSpan w:val="3"/>
            <w:shd w:val="clear" w:color="auto" w:fill="FDE9D9" w:themeFill="accent6" w:themeFillTint="33"/>
            <w:noWrap/>
            <w:vAlign w:val="center"/>
          </w:tcPr>
          <w:p w:rsidR="001A7257" w:rsidRPr="000B3E0F" w:rsidRDefault="001A7257" w:rsidP="00ED041E">
            <w:pPr>
              <w:jc w:val="center"/>
              <w:rPr>
                <w:b/>
                <w:bCs/>
                <w:sz w:val="22"/>
                <w:szCs w:val="22"/>
              </w:rPr>
            </w:pPr>
            <w:r w:rsidRPr="000B3E0F">
              <w:rPr>
                <w:b/>
                <w:bCs/>
                <w:sz w:val="22"/>
                <w:szCs w:val="22"/>
              </w:rPr>
              <w:t>REVENUE SOURCE (in $</w:t>
            </w:r>
            <w:proofErr w:type="spellStart"/>
            <w:r w:rsidRPr="000B3E0F">
              <w:rPr>
                <w:b/>
                <w:bCs/>
                <w:sz w:val="22"/>
                <w:szCs w:val="22"/>
              </w:rPr>
              <w:t>1,000s</w:t>
            </w:r>
            <w:proofErr w:type="spellEnd"/>
            <w:r w:rsidRPr="000B3E0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A7257" w:rsidRPr="00ED041E" w:rsidTr="001A7257">
        <w:trPr>
          <w:trHeight w:val="554"/>
          <w:tblHeader/>
        </w:trPr>
        <w:tc>
          <w:tcPr>
            <w:tcW w:w="4680" w:type="dxa"/>
            <w:vMerge/>
            <w:shd w:val="clear" w:color="auto" w:fill="FDE9D9" w:themeFill="accent6" w:themeFillTint="33"/>
            <w:noWrap/>
            <w:vAlign w:val="center"/>
          </w:tcPr>
          <w:p w:rsidR="001A7257" w:rsidRPr="000B3E0F" w:rsidRDefault="001A7257" w:rsidP="000258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E9D9" w:themeFill="accent6" w:themeFillTint="33"/>
            <w:noWrap/>
            <w:vAlign w:val="center"/>
          </w:tcPr>
          <w:p w:rsidR="001A7257" w:rsidRPr="000B3E0F" w:rsidRDefault="001A7257" w:rsidP="00025800">
            <w:pPr>
              <w:jc w:val="center"/>
              <w:rPr>
                <w:b/>
                <w:bCs/>
                <w:sz w:val="22"/>
                <w:szCs w:val="22"/>
              </w:rPr>
            </w:pPr>
            <w:r w:rsidRPr="000B3E0F">
              <w:rPr>
                <w:b/>
                <w:bCs/>
                <w:sz w:val="22"/>
                <w:szCs w:val="22"/>
              </w:rPr>
              <w:t>G/F</w:t>
            </w:r>
          </w:p>
        </w:tc>
        <w:tc>
          <w:tcPr>
            <w:tcW w:w="1980" w:type="dxa"/>
            <w:shd w:val="clear" w:color="auto" w:fill="FDE9D9" w:themeFill="accent6" w:themeFillTint="33"/>
            <w:noWrap/>
            <w:vAlign w:val="center"/>
          </w:tcPr>
          <w:p w:rsidR="001A7257" w:rsidRPr="000B3E0F" w:rsidRDefault="001A7257" w:rsidP="00025800">
            <w:pPr>
              <w:jc w:val="center"/>
              <w:rPr>
                <w:b/>
                <w:bCs/>
                <w:sz w:val="22"/>
                <w:szCs w:val="22"/>
              </w:rPr>
            </w:pPr>
            <w:r w:rsidRPr="000B3E0F">
              <w:rPr>
                <w:b/>
                <w:bCs/>
                <w:sz w:val="22"/>
                <w:szCs w:val="22"/>
              </w:rPr>
              <w:t>TANF Block Grant</w:t>
            </w:r>
          </w:p>
        </w:tc>
        <w:tc>
          <w:tcPr>
            <w:tcW w:w="1260" w:type="dxa"/>
            <w:shd w:val="clear" w:color="auto" w:fill="FDE9D9" w:themeFill="accent6" w:themeFillTint="33"/>
            <w:noWrap/>
            <w:vAlign w:val="center"/>
          </w:tcPr>
          <w:p w:rsidR="001A7257" w:rsidRPr="000B3E0F" w:rsidRDefault="001A7257" w:rsidP="00025800">
            <w:pPr>
              <w:jc w:val="center"/>
              <w:rPr>
                <w:b/>
                <w:bCs/>
                <w:sz w:val="22"/>
                <w:szCs w:val="22"/>
              </w:rPr>
            </w:pPr>
            <w:r w:rsidRPr="000B3E0F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025800" w:rsidRPr="00ED041E" w:rsidTr="00401862">
        <w:trPr>
          <w:trHeight w:val="70"/>
        </w:trPr>
        <w:tc>
          <w:tcPr>
            <w:tcW w:w="4680" w:type="dxa"/>
            <w:shd w:val="clear" w:color="auto" w:fill="auto"/>
            <w:noWrap/>
            <w:vAlign w:val="bottom"/>
          </w:tcPr>
          <w:p w:rsidR="00025800" w:rsidRPr="000B3E0F" w:rsidRDefault="00025800">
            <w:pPr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General Funds in HSD for TANF-MOE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25800" w:rsidRPr="000B3E0F" w:rsidRDefault="00E8464C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87.1</w:t>
            </w:r>
            <w:r w:rsidR="00025800" w:rsidRPr="000B3E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5800" w:rsidRPr="000B3E0F" w:rsidRDefault="0002580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 xml:space="preserve">0.0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25800" w:rsidRPr="000B3E0F" w:rsidRDefault="00E8464C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87.1</w:t>
            </w:r>
            <w:r w:rsidR="00025800" w:rsidRPr="000B3E0F">
              <w:rPr>
                <w:sz w:val="22"/>
                <w:szCs w:val="22"/>
              </w:rPr>
              <w:t xml:space="preserve"> </w:t>
            </w:r>
          </w:p>
        </w:tc>
      </w:tr>
      <w:tr w:rsidR="00025800" w:rsidRPr="00ED041E" w:rsidTr="00401862">
        <w:trPr>
          <w:trHeight w:val="70"/>
        </w:trPr>
        <w:tc>
          <w:tcPr>
            <w:tcW w:w="4680" w:type="dxa"/>
            <w:shd w:val="clear" w:color="auto" w:fill="auto"/>
            <w:noWrap/>
            <w:vAlign w:val="bottom"/>
          </w:tcPr>
          <w:p w:rsidR="00025800" w:rsidRPr="000B3E0F" w:rsidRDefault="00025800">
            <w:pPr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TANF Block Grant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25800" w:rsidRPr="000B3E0F" w:rsidRDefault="0002580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 xml:space="preserve">0.0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5800" w:rsidRPr="000B3E0F" w:rsidRDefault="0002580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 xml:space="preserve">110,578.1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25800" w:rsidRPr="000B3E0F" w:rsidRDefault="0002580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 xml:space="preserve">110,578.1 </w:t>
            </w:r>
          </w:p>
        </w:tc>
      </w:tr>
      <w:tr w:rsidR="00BF6E40" w:rsidRPr="00ED041E" w:rsidTr="00401862">
        <w:trPr>
          <w:trHeight w:val="70"/>
        </w:trPr>
        <w:tc>
          <w:tcPr>
            <w:tcW w:w="4680" w:type="dxa"/>
            <w:shd w:val="clear" w:color="auto" w:fill="auto"/>
            <w:noWrap/>
            <w:vAlign w:val="bottom"/>
          </w:tcPr>
          <w:p w:rsidR="00BF6E40" w:rsidRPr="000B3E0F" w:rsidRDefault="00BF6E40">
            <w:pPr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 xml:space="preserve">TANF Supplemental Grant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F6E40" w:rsidRPr="000B3E0F" w:rsidRDefault="00BF6E4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 xml:space="preserve">0.0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F6E40" w:rsidRPr="000B3E0F" w:rsidRDefault="00BF6E40" w:rsidP="00574BD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0.0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F6E40" w:rsidRPr="000B3E0F" w:rsidRDefault="00BF6E40" w:rsidP="00574BD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0.0</w:t>
            </w:r>
          </w:p>
        </w:tc>
      </w:tr>
      <w:tr w:rsidR="00BF6E40" w:rsidRPr="00ED041E" w:rsidTr="00401862">
        <w:trPr>
          <w:trHeight w:val="70"/>
        </w:trPr>
        <w:tc>
          <w:tcPr>
            <w:tcW w:w="4680" w:type="dxa"/>
            <w:shd w:val="clear" w:color="auto" w:fill="auto"/>
            <w:noWrap/>
            <w:vAlign w:val="bottom"/>
          </w:tcPr>
          <w:p w:rsidR="00BF6E40" w:rsidRPr="000B3E0F" w:rsidRDefault="00BF6E40" w:rsidP="004A0646">
            <w:pPr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 xml:space="preserve">TANF Contingency  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F6E40" w:rsidRPr="000B3E0F" w:rsidRDefault="00BF6E4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0.0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F6E40" w:rsidRPr="000B3E0F" w:rsidRDefault="00BF6E40" w:rsidP="00574BD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0.0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F6E40" w:rsidRPr="000B3E0F" w:rsidRDefault="00BF6E40" w:rsidP="00574BD0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0.0</w:t>
            </w:r>
          </w:p>
        </w:tc>
      </w:tr>
      <w:tr w:rsidR="00A8245A" w:rsidRPr="00ED041E" w:rsidTr="00401862">
        <w:trPr>
          <w:trHeight w:val="70"/>
        </w:trPr>
        <w:tc>
          <w:tcPr>
            <w:tcW w:w="4680" w:type="dxa"/>
            <w:shd w:val="clear" w:color="auto" w:fill="auto"/>
            <w:noWrap/>
            <w:vAlign w:val="bottom"/>
          </w:tcPr>
          <w:p w:rsidR="00A8245A" w:rsidRPr="000B3E0F" w:rsidRDefault="00A8245A" w:rsidP="00A5444D">
            <w:pPr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TANF Emergency Funds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8245A" w:rsidRPr="000B3E0F" w:rsidRDefault="00E05333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0.0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245A" w:rsidRPr="000B3E0F" w:rsidRDefault="00E05333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0.0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8245A" w:rsidRPr="000B3E0F" w:rsidRDefault="00E05333">
            <w:pPr>
              <w:jc w:val="right"/>
              <w:rPr>
                <w:sz w:val="22"/>
                <w:szCs w:val="22"/>
              </w:rPr>
            </w:pPr>
            <w:r w:rsidRPr="000B3E0F">
              <w:rPr>
                <w:sz w:val="22"/>
                <w:szCs w:val="22"/>
              </w:rPr>
              <w:t>0.0</w:t>
            </w:r>
          </w:p>
        </w:tc>
      </w:tr>
    </w:tbl>
    <w:p w:rsidR="003008A3" w:rsidRDefault="003008A3"/>
    <w:p w:rsidR="001A7257" w:rsidRDefault="001A7257"/>
    <w:p w:rsidR="00277744" w:rsidRDefault="00277744"/>
    <w:p w:rsidR="001A7257" w:rsidRDefault="001A7257"/>
    <w:p w:rsidR="001A7257" w:rsidRPr="001A7257" w:rsidRDefault="001A7257">
      <w:pPr>
        <w:rPr>
          <w:u w:val="single"/>
        </w:rPr>
      </w:pPr>
    </w:p>
    <w:p w:rsidR="00A56F2A" w:rsidRPr="00F30232" w:rsidRDefault="003008A3" w:rsidP="00A56F2A">
      <w:pPr>
        <w:pStyle w:val="ListParagraph"/>
        <w:numPr>
          <w:ilvl w:val="0"/>
          <w:numId w:val="39"/>
        </w:numPr>
        <w:rPr>
          <w:sz w:val="22"/>
          <w:szCs w:val="22"/>
          <w:u w:val="single"/>
        </w:rPr>
      </w:pPr>
      <w:proofErr w:type="spellStart"/>
      <w:r w:rsidRPr="00F30232">
        <w:rPr>
          <w:sz w:val="22"/>
          <w:szCs w:val="22"/>
          <w:u w:val="single"/>
        </w:rPr>
        <w:t>FY1</w:t>
      </w:r>
      <w:r w:rsidR="00F30232" w:rsidRPr="00F30232">
        <w:rPr>
          <w:sz w:val="22"/>
          <w:szCs w:val="22"/>
          <w:u w:val="single"/>
        </w:rPr>
        <w:t>4</w:t>
      </w:r>
      <w:proofErr w:type="spellEnd"/>
      <w:r w:rsidRPr="00F30232">
        <w:rPr>
          <w:sz w:val="22"/>
          <w:szCs w:val="22"/>
          <w:u w:val="single"/>
        </w:rPr>
        <w:t xml:space="preserve"> Projected Expenditures</w:t>
      </w:r>
      <w:r w:rsidR="0025022D" w:rsidRPr="00F30232">
        <w:rPr>
          <w:sz w:val="22"/>
          <w:szCs w:val="22"/>
          <w:u w:val="single"/>
        </w:rPr>
        <w:t xml:space="preserve"> </w:t>
      </w:r>
    </w:p>
    <w:p w:rsidR="00F30232" w:rsidRPr="00F30232" w:rsidRDefault="00F30232" w:rsidP="00F30232">
      <w:pPr>
        <w:pStyle w:val="ListParagraph"/>
        <w:rPr>
          <w:sz w:val="22"/>
          <w:szCs w:val="22"/>
          <w:u w:val="single"/>
        </w:rPr>
      </w:pPr>
    </w:p>
    <w:tbl>
      <w:tblPr>
        <w:tblW w:w="1007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806"/>
        <w:gridCol w:w="2657"/>
        <w:gridCol w:w="1339"/>
      </w:tblGrid>
      <w:tr w:rsidR="008402B4" w:rsidTr="008402B4">
        <w:trPr>
          <w:trHeight w:val="317"/>
        </w:trPr>
        <w:tc>
          <w:tcPr>
            <w:tcW w:w="5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 w:rsidRPr="000B3E0F">
              <w:rPr>
                <w:b/>
                <w:bCs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48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 w:rsidRPr="000B3E0F">
              <w:rPr>
                <w:b/>
                <w:bCs/>
                <w:color w:val="000000"/>
                <w:sz w:val="22"/>
                <w:szCs w:val="22"/>
              </w:rPr>
              <w:t xml:space="preserve">CHARGED TO:  </w:t>
            </w:r>
          </w:p>
        </w:tc>
      </w:tr>
      <w:tr w:rsidR="008402B4" w:rsidTr="008402B4">
        <w:trPr>
          <w:trHeight w:val="3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 w:rsidRPr="000B3E0F">
              <w:rPr>
                <w:b/>
                <w:bCs/>
                <w:color w:val="000000"/>
                <w:sz w:val="22"/>
                <w:szCs w:val="22"/>
              </w:rPr>
              <w:t>(Figures in $</w:t>
            </w:r>
            <w:proofErr w:type="spellStart"/>
            <w:r w:rsidRPr="000B3E0F">
              <w:rPr>
                <w:b/>
                <w:bCs/>
                <w:color w:val="000000"/>
                <w:sz w:val="22"/>
                <w:szCs w:val="22"/>
              </w:rPr>
              <w:t>1,000s</w:t>
            </w:r>
            <w:proofErr w:type="spellEnd"/>
            <w:r w:rsidRPr="000B3E0F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402B4" w:rsidTr="008402B4">
        <w:trPr>
          <w:trHeight w:val="3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 w:rsidRPr="000B3E0F">
              <w:rPr>
                <w:b/>
                <w:bCs/>
                <w:color w:val="000000"/>
                <w:sz w:val="22"/>
                <w:szCs w:val="22"/>
              </w:rPr>
              <w:t xml:space="preserve">G/F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 w:rsidRPr="000B3E0F">
              <w:rPr>
                <w:b/>
                <w:bCs/>
                <w:color w:val="000000"/>
                <w:sz w:val="22"/>
                <w:szCs w:val="22"/>
              </w:rPr>
              <w:t>TANF Block Grant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 w:rsidRPr="000B3E0F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8402B4" w:rsidTr="008402B4">
        <w:trPr>
          <w:trHeight w:val="33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Program Support ADMIN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2,243.4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2,243.4</w:t>
            </w:r>
          </w:p>
        </w:tc>
      </w:tr>
      <w:tr w:rsidR="008402B4" w:rsidTr="008402B4">
        <w:trPr>
          <w:trHeight w:val="33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ISD ADMIN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6,857.4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6,857.4</w:t>
            </w:r>
          </w:p>
        </w:tc>
      </w:tr>
      <w:tr w:rsidR="008402B4" w:rsidTr="008402B4">
        <w:trPr>
          <w:trHeight w:val="33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Cash Assistance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53,644.9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53,644.9</w:t>
            </w:r>
          </w:p>
        </w:tc>
      </w:tr>
      <w:tr w:rsidR="008402B4" w:rsidTr="008402B4">
        <w:trPr>
          <w:trHeight w:val="33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Clothing Allowance for School Age Kids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895.3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895.3</w:t>
            </w:r>
          </w:p>
        </w:tc>
      </w:tr>
      <w:tr w:rsidR="008402B4" w:rsidTr="008402B4">
        <w:trPr>
          <w:trHeight w:val="33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Diversion Payments (non-assistance)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274.5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274.5</w:t>
            </w:r>
          </w:p>
        </w:tc>
      </w:tr>
      <w:tr w:rsidR="008402B4" w:rsidTr="008402B4">
        <w:trPr>
          <w:trHeight w:val="33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Wage Subsidy Program (non-assistance)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900.1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900.1</w:t>
            </w:r>
          </w:p>
        </w:tc>
      </w:tr>
      <w:tr w:rsidR="008402B4" w:rsidTr="008402B4">
        <w:trPr>
          <w:trHeight w:val="33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 w:rsidRPr="000B3E0F">
              <w:rPr>
                <w:color w:val="000000"/>
                <w:sz w:val="22"/>
                <w:szCs w:val="22"/>
              </w:rPr>
              <w:t>NMW</w:t>
            </w:r>
            <w:proofErr w:type="spellEnd"/>
            <w:r w:rsidRPr="000B3E0F">
              <w:rPr>
                <w:color w:val="000000"/>
                <w:sz w:val="22"/>
                <w:szCs w:val="22"/>
              </w:rPr>
              <w:t xml:space="preserve"> Legal Immigrant (</w:t>
            </w:r>
            <w:proofErr w:type="spellStart"/>
            <w:r w:rsidRPr="000B3E0F">
              <w:rPr>
                <w:color w:val="000000"/>
                <w:sz w:val="22"/>
                <w:szCs w:val="22"/>
              </w:rPr>
              <w:t>GF</w:t>
            </w:r>
            <w:proofErr w:type="spellEnd"/>
            <w:r w:rsidRPr="000B3E0F">
              <w:rPr>
                <w:color w:val="000000"/>
                <w:sz w:val="22"/>
                <w:szCs w:val="22"/>
              </w:rPr>
              <w:t>/MOE)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48.4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48.4</w:t>
            </w:r>
          </w:p>
        </w:tc>
      </w:tr>
      <w:tr w:rsidR="008402B4" w:rsidTr="008402B4">
        <w:trPr>
          <w:trHeight w:val="33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 w:rsidRPr="000B3E0F">
              <w:rPr>
                <w:color w:val="000000"/>
                <w:sz w:val="22"/>
                <w:szCs w:val="22"/>
              </w:rPr>
              <w:t>NMW</w:t>
            </w:r>
            <w:proofErr w:type="spellEnd"/>
            <w:r w:rsidRPr="000B3E0F">
              <w:rPr>
                <w:color w:val="000000"/>
                <w:sz w:val="22"/>
                <w:szCs w:val="22"/>
              </w:rPr>
              <w:t xml:space="preserve"> Works Program  TANF clients SL Start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9,604.5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9,604.5</w:t>
            </w:r>
          </w:p>
        </w:tc>
      </w:tr>
      <w:tr w:rsidR="008402B4" w:rsidTr="008402B4">
        <w:trPr>
          <w:trHeight w:val="33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SNAP E&amp; T (</w:t>
            </w:r>
            <w:proofErr w:type="spellStart"/>
            <w:r w:rsidRPr="000B3E0F">
              <w:rPr>
                <w:color w:val="000000"/>
                <w:sz w:val="22"/>
                <w:szCs w:val="22"/>
              </w:rPr>
              <w:t>NMW</w:t>
            </w:r>
            <w:proofErr w:type="spellEnd"/>
            <w:r w:rsidRPr="000B3E0F">
              <w:rPr>
                <w:color w:val="000000"/>
                <w:sz w:val="22"/>
                <w:szCs w:val="22"/>
              </w:rPr>
              <w:t xml:space="preserve"> contractors portion)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599.4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2B4" w:rsidRPr="000B3E0F" w:rsidRDefault="008402B4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0B3E0F">
              <w:rPr>
                <w:color w:val="000000"/>
                <w:sz w:val="22"/>
                <w:szCs w:val="22"/>
              </w:rPr>
              <w:t>599.4</w:t>
            </w:r>
          </w:p>
        </w:tc>
      </w:tr>
    </w:tbl>
    <w:p w:rsidR="00F54C7D" w:rsidRPr="00614EAC" w:rsidRDefault="00F54C7D">
      <w:pPr>
        <w:rPr>
          <w:sz w:val="22"/>
          <w:szCs w:val="22"/>
        </w:rPr>
      </w:pPr>
    </w:p>
    <w:p w:rsidR="00EB7A5D" w:rsidRPr="00991AC5" w:rsidRDefault="009414C8" w:rsidP="00614EAC">
      <w:pPr>
        <w:numPr>
          <w:ilvl w:val="0"/>
          <w:numId w:val="30"/>
        </w:numPr>
        <w:tabs>
          <w:tab w:val="clear" w:pos="450"/>
          <w:tab w:val="num" w:pos="360"/>
          <w:tab w:val="num" w:pos="720"/>
        </w:tabs>
        <w:ind w:left="720"/>
        <w:rPr>
          <w:sz w:val="22"/>
          <w:szCs w:val="22"/>
          <w:u w:val="single"/>
        </w:rPr>
      </w:pPr>
      <w:r w:rsidRPr="00991AC5">
        <w:rPr>
          <w:sz w:val="22"/>
          <w:szCs w:val="22"/>
          <w:u w:val="single"/>
        </w:rPr>
        <w:t>Programs Qualifying for TANF MOE (</w:t>
      </w:r>
      <w:proofErr w:type="spellStart"/>
      <w:r w:rsidRPr="00991AC5">
        <w:rPr>
          <w:sz w:val="22"/>
          <w:szCs w:val="22"/>
          <w:u w:val="single"/>
        </w:rPr>
        <w:t>FFY</w:t>
      </w:r>
      <w:proofErr w:type="spellEnd"/>
      <w:r w:rsidRPr="00991AC5">
        <w:rPr>
          <w:sz w:val="22"/>
          <w:szCs w:val="22"/>
          <w:u w:val="single"/>
        </w:rPr>
        <w:t xml:space="preserve"> 1</w:t>
      </w:r>
      <w:r w:rsidR="00991AC5" w:rsidRPr="00991AC5">
        <w:rPr>
          <w:sz w:val="22"/>
          <w:szCs w:val="22"/>
          <w:u w:val="single"/>
        </w:rPr>
        <w:t>3</w:t>
      </w:r>
      <w:r w:rsidRPr="00991AC5">
        <w:rPr>
          <w:sz w:val="22"/>
          <w:szCs w:val="22"/>
          <w:u w:val="single"/>
        </w:rPr>
        <w:t>)</w:t>
      </w:r>
      <w:r w:rsidR="0004304D" w:rsidRPr="00991AC5">
        <w:rPr>
          <w:sz w:val="22"/>
          <w:szCs w:val="22"/>
          <w:u w:val="single"/>
        </w:rPr>
        <w:t xml:space="preserve"> </w:t>
      </w:r>
    </w:p>
    <w:p w:rsidR="00614EAC" w:rsidRDefault="00614EAC" w:rsidP="00614EAC">
      <w:pPr>
        <w:tabs>
          <w:tab w:val="num" w:pos="720"/>
        </w:tabs>
        <w:ind w:left="720"/>
        <w:rPr>
          <w:sz w:val="22"/>
          <w:szCs w:val="22"/>
          <w:u w:val="single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3510"/>
        <w:gridCol w:w="1440"/>
      </w:tblGrid>
      <w:tr w:rsidR="00991AC5" w:rsidTr="00B11FB7">
        <w:tc>
          <w:tcPr>
            <w:tcW w:w="3690" w:type="dxa"/>
            <w:shd w:val="clear" w:color="auto" w:fill="FDE9D9" w:themeFill="accent6" w:themeFillTint="33"/>
          </w:tcPr>
          <w:p w:rsidR="00991AC5" w:rsidRPr="00574BD0" w:rsidRDefault="00991AC5" w:rsidP="00B11FB7">
            <w:pPr>
              <w:tabs>
                <w:tab w:val="num" w:pos="720"/>
              </w:tabs>
              <w:spacing w:after="120"/>
              <w:rPr>
                <w:b/>
                <w:sz w:val="20"/>
                <w:szCs w:val="20"/>
                <w:u w:val="single"/>
              </w:rPr>
            </w:pPr>
            <w:r w:rsidRPr="00574BD0">
              <w:rPr>
                <w:b/>
                <w:sz w:val="20"/>
                <w:szCs w:val="20"/>
                <w:u w:val="single"/>
              </w:rPr>
              <w:t>PROGRAM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991AC5" w:rsidRPr="00574BD0" w:rsidRDefault="00991AC5" w:rsidP="00B11FB7">
            <w:pPr>
              <w:tabs>
                <w:tab w:val="num" w:pos="720"/>
              </w:tabs>
              <w:spacing w:after="120"/>
              <w:rPr>
                <w:b/>
                <w:sz w:val="20"/>
                <w:szCs w:val="20"/>
                <w:u w:val="single"/>
              </w:rPr>
            </w:pPr>
            <w:r w:rsidRPr="00574BD0">
              <w:rPr>
                <w:b/>
                <w:sz w:val="20"/>
                <w:szCs w:val="20"/>
                <w:u w:val="single"/>
              </w:rPr>
              <w:t>STATE MOE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991AC5" w:rsidRPr="00574BD0" w:rsidRDefault="00991AC5" w:rsidP="00B11FB7">
            <w:pPr>
              <w:tabs>
                <w:tab w:val="num" w:pos="720"/>
              </w:tabs>
              <w:spacing w:after="120"/>
              <w:rPr>
                <w:b/>
                <w:sz w:val="20"/>
                <w:szCs w:val="20"/>
                <w:u w:val="single"/>
              </w:rPr>
            </w:pPr>
            <w:r w:rsidRPr="00574BD0">
              <w:rPr>
                <w:b/>
                <w:sz w:val="20"/>
                <w:szCs w:val="20"/>
                <w:u w:val="single"/>
              </w:rPr>
              <w:t>PROGRAM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991AC5" w:rsidRPr="00574BD0" w:rsidRDefault="00991AC5" w:rsidP="00B11FB7">
            <w:pPr>
              <w:tabs>
                <w:tab w:val="num" w:pos="720"/>
              </w:tabs>
              <w:spacing w:after="120"/>
              <w:rPr>
                <w:b/>
                <w:sz w:val="20"/>
                <w:szCs w:val="20"/>
                <w:u w:val="single"/>
              </w:rPr>
            </w:pPr>
            <w:r w:rsidRPr="00574BD0">
              <w:rPr>
                <w:b/>
                <w:sz w:val="20"/>
                <w:szCs w:val="20"/>
                <w:u w:val="single"/>
              </w:rPr>
              <w:t>STATE MOE</w:t>
            </w:r>
          </w:p>
        </w:tc>
      </w:tr>
      <w:tr w:rsidR="00991AC5" w:rsidRPr="00F55CB5" w:rsidTr="00991AC5">
        <w:trPr>
          <w:trHeight w:val="314"/>
        </w:trPr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Public Education Department-GRADS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991AC5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$199,993</w:t>
            </w:r>
          </w:p>
        </w:tc>
        <w:tc>
          <w:tcPr>
            <w:tcW w:w="3510" w:type="dxa"/>
            <w:vAlign w:val="bottom"/>
          </w:tcPr>
          <w:p w:rsidR="00991AC5" w:rsidRPr="00F55CB5" w:rsidDel="00EB6A01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Albuquerque Rescue Mission</w:t>
            </w:r>
          </w:p>
        </w:tc>
        <w:tc>
          <w:tcPr>
            <w:tcW w:w="1440" w:type="dxa"/>
            <w:vAlign w:val="bottom"/>
          </w:tcPr>
          <w:p w:rsidR="00991AC5" w:rsidRPr="00F55CB5" w:rsidDel="00EB6A01" w:rsidRDefault="00991AC5" w:rsidP="00991AC5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$183,484</w:t>
            </w:r>
          </w:p>
        </w:tc>
      </w:tr>
      <w:tr w:rsidR="00991AC5" w:rsidRPr="00F55CB5" w:rsidTr="00991AC5">
        <w:trPr>
          <w:trHeight w:val="404"/>
        </w:trPr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Public Education Department-Pre-K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991AC5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$9,317,442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bottom"/>
          </w:tcPr>
          <w:p w:rsidR="00991AC5" w:rsidRPr="00F55CB5" w:rsidDel="00EB6A01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Bethel Community Storehouse</w:t>
            </w:r>
          </w:p>
        </w:tc>
        <w:tc>
          <w:tcPr>
            <w:tcW w:w="1440" w:type="dxa"/>
            <w:vAlign w:val="bottom"/>
          </w:tcPr>
          <w:p w:rsidR="00991AC5" w:rsidRPr="00F55CB5" w:rsidDel="00EB6A01" w:rsidRDefault="00991AC5" w:rsidP="00991AC5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$407,242</w:t>
            </w: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Public Education Department-Kindergarten 3 +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$8,202,670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:rsidR="00991AC5" w:rsidRPr="00F55CB5" w:rsidRDefault="00991AC5" w:rsidP="00B11FB7">
            <w:pPr>
              <w:rPr>
                <w:color w:val="000000"/>
                <w:sz w:val="22"/>
                <w:szCs w:val="22"/>
              </w:rPr>
            </w:pPr>
            <w:r w:rsidRPr="00F55CB5">
              <w:rPr>
                <w:color w:val="000000"/>
                <w:sz w:val="22"/>
                <w:szCs w:val="22"/>
              </w:rPr>
              <w:t>Storehouse West</w:t>
            </w:r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$366,011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TRD - Low Income Tax Credit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$4,300,000</w:t>
            </w:r>
          </w:p>
          <w:p w:rsidR="00991AC5" w:rsidRPr="00F55CB5" w:rsidRDefault="00991AC5" w:rsidP="00B11FB7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:rsidR="00991AC5" w:rsidRPr="00F55CB5" w:rsidRDefault="00991AC5" w:rsidP="00B11FB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5CB5">
              <w:rPr>
                <w:color w:val="000000"/>
                <w:sz w:val="22"/>
                <w:szCs w:val="22"/>
              </w:rPr>
              <w:t>S.A.F.E</w:t>
            </w:r>
            <w:proofErr w:type="spellEnd"/>
            <w:r w:rsidRPr="00F55CB5">
              <w:rPr>
                <w:color w:val="000000"/>
                <w:sz w:val="22"/>
                <w:szCs w:val="22"/>
              </w:rPr>
              <w:t>. House</w:t>
            </w:r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$705,327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TRD – Child Care Tax Credit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$40,000</w:t>
            </w:r>
          </w:p>
          <w:p w:rsidR="00991AC5" w:rsidRPr="00F55CB5" w:rsidRDefault="00991AC5" w:rsidP="00B11FB7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:rsidR="00991AC5" w:rsidRPr="00F55CB5" w:rsidRDefault="00991AC5" w:rsidP="00B11FB7">
            <w:pPr>
              <w:rPr>
                <w:i/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Haven House Domestic Violence Program</w:t>
            </w:r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$539,501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TRD – Working Families Tax Credit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$43,100,000</w:t>
            </w:r>
          </w:p>
          <w:p w:rsidR="00991AC5" w:rsidRPr="00F55CB5" w:rsidRDefault="00991AC5" w:rsidP="00B11FB7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 xml:space="preserve">Enlace </w:t>
            </w:r>
            <w:proofErr w:type="spellStart"/>
            <w:r w:rsidRPr="00F55CB5">
              <w:rPr>
                <w:sz w:val="22"/>
                <w:szCs w:val="22"/>
              </w:rPr>
              <w:t>Communitario</w:t>
            </w:r>
            <w:proofErr w:type="spellEnd"/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$765,334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CYFD – Pre-K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$8,777,521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left w:val="single" w:sz="18" w:space="0" w:color="auto"/>
            </w:tcBorders>
            <w:vAlign w:val="bottom"/>
          </w:tcPr>
          <w:p w:rsidR="00991AC5" w:rsidRPr="00F55CB5" w:rsidDel="00EB6A01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Grace Thrift Store</w:t>
            </w:r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$95,500</w:t>
            </w:r>
          </w:p>
          <w:p w:rsidR="00991AC5" w:rsidRPr="00F55CB5" w:rsidDel="00EB6A01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CYFD – Child Care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615072" w:rsidRDefault="00991AC5" w:rsidP="00B11F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$7,895,300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left w:val="single" w:sz="18" w:space="0" w:color="auto"/>
            </w:tcBorders>
            <w:vAlign w:val="bottom"/>
          </w:tcPr>
          <w:p w:rsidR="00991AC5" w:rsidRPr="00F55CB5" w:rsidDel="00EB6A01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Peanut Butter &amp; Jelly Family Services</w:t>
            </w:r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$725,250</w:t>
            </w:r>
          </w:p>
          <w:p w:rsidR="00991AC5" w:rsidRPr="00F55CB5" w:rsidDel="00EB6A01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CYFD – Community Based Services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$2,721,200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:rsidR="00991AC5" w:rsidRPr="00F55CB5" w:rsidDel="00EB6A01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Meals on Wheels</w:t>
            </w:r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$1,134,864</w:t>
            </w:r>
          </w:p>
          <w:p w:rsidR="00991AC5" w:rsidRPr="00F55CB5" w:rsidDel="00EB6A01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CYFD – Family Preservation – Title IV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$6,500,000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proofErr w:type="spellStart"/>
            <w:r w:rsidRPr="00F55CB5">
              <w:rPr>
                <w:sz w:val="22"/>
                <w:szCs w:val="22"/>
              </w:rPr>
              <w:t>Bienvenidos</w:t>
            </w:r>
            <w:proofErr w:type="spellEnd"/>
            <w:r w:rsidRPr="00F55CB5">
              <w:rPr>
                <w:sz w:val="22"/>
                <w:szCs w:val="22"/>
              </w:rPr>
              <w:t xml:space="preserve"> Outreach, Inc.</w:t>
            </w:r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$695,36</w:t>
            </w:r>
            <w:r>
              <w:rPr>
                <w:sz w:val="22"/>
                <w:szCs w:val="22"/>
              </w:rPr>
              <w:t>8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rPr>
          <w:trHeight w:val="296"/>
        </w:trPr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CYFD – Domestic Violence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$3,600,000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left w:val="single" w:sz="18" w:space="0" w:color="auto"/>
            </w:tcBorders>
            <w:vAlign w:val="bottom"/>
          </w:tcPr>
          <w:p w:rsidR="00991AC5" w:rsidRPr="00F55CB5" w:rsidDel="00EB6A01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Rio Grande Food Project</w:t>
            </w:r>
          </w:p>
        </w:tc>
        <w:tc>
          <w:tcPr>
            <w:tcW w:w="1440" w:type="dxa"/>
            <w:vAlign w:val="bottom"/>
          </w:tcPr>
          <w:p w:rsidR="00991AC5" w:rsidRPr="00F55CB5" w:rsidDel="00EB6A01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$307,064</w:t>
            </w: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CSED - Disregard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1,317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:rsidR="00991AC5" w:rsidRPr="00F55CB5" w:rsidDel="00EB6A01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ECHO, Inc.</w:t>
            </w:r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$62,061</w:t>
            </w:r>
          </w:p>
          <w:p w:rsidR="00991AC5" w:rsidRPr="00F55CB5" w:rsidDel="00EB6A01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DOH – Family Planning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$3,405,474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Care Net Pregnancy Center of Albuquerque</w:t>
            </w:r>
          </w:p>
        </w:tc>
        <w:tc>
          <w:tcPr>
            <w:tcW w:w="1440" w:type="dxa"/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$505,652</w:t>
            </w:r>
          </w:p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</w:p>
        </w:tc>
      </w:tr>
      <w:tr w:rsidR="00991AC5" w:rsidRPr="00F55CB5" w:rsidTr="00B11FB7">
        <w:trPr>
          <w:trHeight w:val="50"/>
        </w:trPr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State Funded Aliens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$42,001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bottom"/>
          </w:tcPr>
          <w:p w:rsidR="00991AC5" w:rsidRPr="00F55CB5" w:rsidDel="00EB6A01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Alta Mira</w:t>
            </w:r>
          </w:p>
        </w:tc>
        <w:tc>
          <w:tcPr>
            <w:tcW w:w="1440" w:type="dxa"/>
            <w:vAlign w:val="bottom"/>
          </w:tcPr>
          <w:p w:rsidR="00991AC5" w:rsidRPr="00F55CB5" w:rsidDel="00EB6A01" w:rsidRDefault="00991AC5" w:rsidP="00B11F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$683,</w:t>
            </w:r>
            <w:r w:rsidRPr="00F55CB5">
              <w:rPr>
                <w:sz w:val="22"/>
                <w:szCs w:val="22"/>
              </w:rPr>
              <w:t>865</w:t>
            </w:r>
          </w:p>
        </w:tc>
      </w:tr>
      <w:tr w:rsidR="00991AC5" w:rsidRPr="00F55CB5" w:rsidTr="00B11FB7">
        <w:trPr>
          <w:trHeight w:val="170"/>
        </w:trPr>
        <w:tc>
          <w:tcPr>
            <w:tcW w:w="3690" w:type="dxa"/>
            <w:vAlign w:val="bottom"/>
          </w:tcPr>
          <w:p w:rsidR="00991AC5" w:rsidRPr="00F55CB5" w:rsidDel="00EB6A01" w:rsidRDefault="00991AC5" w:rsidP="00B11FB7">
            <w:pPr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St. Felix Pantry, Inc.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Del="00EB6A01" w:rsidRDefault="00991AC5" w:rsidP="00B11FB7">
            <w:pPr>
              <w:jc w:val="right"/>
              <w:rPr>
                <w:sz w:val="22"/>
                <w:szCs w:val="22"/>
              </w:rPr>
            </w:pPr>
            <w:r w:rsidRPr="00F55CB5">
              <w:rPr>
                <w:sz w:val="22"/>
                <w:szCs w:val="22"/>
              </w:rPr>
              <w:t>$756,585</w:t>
            </w:r>
          </w:p>
        </w:tc>
        <w:tc>
          <w:tcPr>
            <w:tcW w:w="3510" w:type="dxa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Martin’s Hospitality Center</w:t>
            </w:r>
          </w:p>
        </w:tc>
        <w:tc>
          <w:tcPr>
            <w:tcW w:w="1440" w:type="dxa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$219,207</w:t>
            </w:r>
          </w:p>
        </w:tc>
      </w:tr>
      <w:tr w:rsidR="00991AC5" w:rsidRPr="00F55CB5" w:rsidTr="00B11FB7">
        <w:trPr>
          <w:trHeight w:val="170"/>
        </w:trPr>
        <w:tc>
          <w:tcPr>
            <w:tcW w:w="3690" w:type="dxa"/>
            <w:vAlign w:val="bottom"/>
          </w:tcPr>
          <w:p w:rsidR="00991AC5" w:rsidRPr="00F55CB5" w:rsidRDefault="00991AC5" w:rsidP="00B11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Lutheran Family Services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bottom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$57,324</w:t>
            </w:r>
          </w:p>
        </w:tc>
        <w:tc>
          <w:tcPr>
            <w:tcW w:w="3510" w:type="dxa"/>
          </w:tcPr>
          <w:p w:rsidR="00991AC5" w:rsidRPr="00F55CB5" w:rsidRDefault="00991AC5" w:rsidP="00B11FB7">
            <w:pPr>
              <w:rPr>
                <w:b/>
                <w:bCs/>
                <w:sz w:val="22"/>
                <w:szCs w:val="22"/>
              </w:rPr>
            </w:pPr>
            <w:r w:rsidRPr="00F55CB5">
              <w:rPr>
                <w:b/>
                <w:bCs/>
                <w:sz w:val="22"/>
                <w:szCs w:val="22"/>
              </w:rPr>
              <w:t>TOTAL MOE</w:t>
            </w:r>
          </w:p>
        </w:tc>
        <w:tc>
          <w:tcPr>
            <w:tcW w:w="1440" w:type="dxa"/>
          </w:tcPr>
          <w:p w:rsidR="00991AC5" w:rsidRPr="00F55CB5" w:rsidRDefault="00991AC5" w:rsidP="00B11FB7">
            <w:pPr>
              <w:jc w:val="right"/>
              <w:rPr>
                <w:sz w:val="22"/>
                <w:szCs w:val="22"/>
              </w:rPr>
            </w:pPr>
            <w:r w:rsidRPr="00615072">
              <w:rPr>
                <w:b/>
                <w:bCs/>
                <w:sz w:val="22"/>
                <w:szCs w:val="22"/>
              </w:rPr>
              <w:t>$106,312,559</w:t>
            </w:r>
          </w:p>
        </w:tc>
      </w:tr>
    </w:tbl>
    <w:p w:rsidR="00574BD0" w:rsidRDefault="00574BD0" w:rsidP="00574BD0">
      <w:pPr>
        <w:tabs>
          <w:tab w:val="num" w:pos="720"/>
        </w:tabs>
        <w:spacing w:after="120"/>
        <w:rPr>
          <w:sz w:val="22"/>
          <w:szCs w:val="22"/>
          <w:u w:val="single"/>
        </w:rPr>
      </w:pPr>
    </w:p>
    <w:p w:rsidR="00614EAC" w:rsidRDefault="00614EAC" w:rsidP="00574BD0">
      <w:pPr>
        <w:tabs>
          <w:tab w:val="num" w:pos="720"/>
        </w:tabs>
        <w:spacing w:after="120"/>
        <w:rPr>
          <w:sz w:val="22"/>
          <w:szCs w:val="22"/>
          <w:u w:val="single"/>
        </w:rPr>
      </w:pPr>
    </w:p>
    <w:p w:rsidR="00FE3222" w:rsidRPr="00DA2AA6" w:rsidRDefault="00947756" w:rsidP="00DA2AA6">
      <w:pPr>
        <w:pStyle w:val="ListParagraph"/>
        <w:numPr>
          <w:ilvl w:val="0"/>
          <w:numId w:val="36"/>
        </w:numPr>
        <w:ind w:left="360"/>
        <w:rPr>
          <w:b/>
          <w:sz w:val="22"/>
          <w:szCs w:val="22"/>
        </w:rPr>
      </w:pPr>
      <w:r w:rsidRPr="00DA2AA6">
        <w:rPr>
          <w:b/>
          <w:sz w:val="22"/>
          <w:szCs w:val="22"/>
        </w:rPr>
        <w:t xml:space="preserve">TANF </w:t>
      </w:r>
      <w:r w:rsidR="00FE3222" w:rsidRPr="00DA2AA6">
        <w:rPr>
          <w:b/>
          <w:sz w:val="22"/>
          <w:szCs w:val="22"/>
        </w:rPr>
        <w:t>Federal Requirements</w:t>
      </w:r>
    </w:p>
    <w:p w:rsidR="00FE3222" w:rsidRPr="00DA2AA6" w:rsidRDefault="00FE3222" w:rsidP="00DA2AA6">
      <w:pPr>
        <w:numPr>
          <w:ilvl w:val="0"/>
          <w:numId w:val="40"/>
        </w:numPr>
        <w:rPr>
          <w:sz w:val="22"/>
          <w:szCs w:val="22"/>
        </w:rPr>
      </w:pPr>
      <w:r w:rsidRPr="00DA2AA6">
        <w:rPr>
          <w:sz w:val="22"/>
          <w:szCs w:val="22"/>
        </w:rPr>
        <w:t>Cash assistance time limit of 60 months</w:t>
      </w:r>
      <w:r w:rsidR="00DA2AA6">
        <w:rPr>
          <w:sz w:val="22"/>
          <w:szCs w:val="22"/>
        </w:rPr>
        <w:t>.</w:t>
      </w:r>
    </w:p>
    <w:p w:rsidR="00FE3222" w:rsidRPr="00DA2AA6" w:rsidRDefault="00FE3222" w:rsidP="00DA2AA6">
      <w:pPr>
        <w:numPr>
          <w:ilvl w:val="0"/>
          <w:numId w:val="40"/>
        </w:numPr>
        <w:rPr>
          <w:sz w:val="22"/>
          <w:szCs w:val="22"/>
        </w:rPr>
      </w:pPr>
      <w:r w:rsidRPr="00DA2AA6">
        <w:rPr>
          <w:sz w:val="22"/>
          <w:szCs w:val="22"/>
        </w:rPr>
        <w:t>Work requirement for most cash recipients</w:t>
      </w:r>
      <w:r w:rsidR="00DA2AA6">
        <w:rPr>
          <w:sz w:val="22"/>
          <w:szCs w:val="22"/>
        </w:rPr>
        <w:t>.</w:t>
      </w:r>
      <w:r w:rsidRPr="00DA2AA6">
        <w:rPr>
          <w:sz w:val="22"/>
          <w:szCs w:val="22"/>
        </w:rPr>
        <w:t xml:space="preserve"> </w:t>
      </w:r>
    </w:p>
    <w:p w:rsidR="00FE3222" w:rsidRPr="00DA2AA6" w:rsidRDefault="00FE3222" w:rsidP="00DA2AA6">
      <w:pPr>
        <w:numPr>
          <w:ilvl w:val="0"/>
          <w:numId w:val="40"/>
        </w:numPr>
        <w:rPr>
          <w:sz w:val="22"/>
          <w:szCs w:val="22"/>
        </w:rPr>
      </w:pPr>
      <w:r w:rsidRPr="00DA2AA6">
        <w:rPr>
          <w:sz w:val="22"/>
          <w:szCs w:val="22"/>
        </w:rPr>
        <w:t xml:space="preserve">Recipients face payment sanctions and termination of benefits for not meeting work </w:t>
      </w:r>
      <w:r w:rsidR="00DA2AA6">
        <w:rPr>
          <w:sz w:val="22"/>
          <w:szCs w:val="22"/>
        </w:rPr>
        <w:t>r</w:t>
      </w:r>
      <w:r w:rsidRPr="00DA2AA6">
        <w:rPr>
          <w:sz w:val="22"/>
          <w:szCs w:val="22"/>
        </w:rPr>
        <w:t>equirement</w:t>
      </w:r>
      <w:r w:rsidR="00DA2AA6">
        <w:rPr>
          <w:sz w:val="22"/>
          <w:szCs w:val="22"/>
        </w:rPr>
        <w:t>s.</w:t>
      </w:r>
    </w:p>
    <w:p w:rsidR="00FE3222" w:rsidRPr="00DA2AA6" w:rsidRDefault="00FE3222" w:rsidP="00DA2AA6">
      <w:pPr>
        <w:numPr>
          <w:ilvl w:val="0"/>
          <w:numId w:val="40"/>
        </w:numPr>
        <w:rPr>
          <w:sz w:val="22"/>
          <w:szCs w:val="22"/>
        </w:rPr>
      </w:pPr>
      <w:r w:rsidRPr="00DA2AA6">
        <w:rPr>
          <w:sz w:val="22"/>
          <w:szCs w:val="22"/>
        </w:rPr>
        <w:t>Individual Responsibility Plans required for all cash recipients</w:t>
      </w:r>
      <w:r w:rsidR="00DA2AA6">
        <w:rPr>
          <w:sz w:val="22"/>
          <w:szCs w:val="22"/>
        </w:rPr>
        <w:t>.</w:t>
      </w:r>
    </w:p>
    <w:p w:rsidR="00FE3222" w:rsidRPr="00DA2AA6" w:rsidRDefault="00FE3222" w:rsidP="00DA2AA6">
      <w:pPr>
        <w:numPr>
          <w:ilvl w:val="0"/>
          <w:numId w:val="40"/>
        </w:numPr>
        <w:rPr>
          <w:sz w:val="22"/>
          <w:szCs w:val="22"/>
        </w:rPr>
      </w:pPr>
      <w:r w:rsidRPr="00DA2AA6">
        <w:rPr>
          <w:sz w:val="22"/>
          <w:szCs w:val="22"/>
        </w:rPr>
        <w:t>Teen parent</w:t>
      </w:r>
      <w:r w:rsidR="00DA2AA6">
        <w:rPr>
          <w:sz w:val="22"/>
          <w:szCs w:val="22"/>
        </w:rPr>
        <w:t>s</w:t>
      </w:r>
      <w:r w:rsidRPr="00DA2AA6">
        <w:rPr>
          <w:sz w:val="22"/>
          <w:szCs w:val="22"/>
        </w:rPr>
        <w:t xml:space="preserve"> </w:t>
      </w:r>
      <w:r w:rsidR="00DA2AA6">
        <w:rPr>
          <w:sz w:val="22"/>
          <w:szCs w:val="22"/>
        </w:rPr>
        <w:t xml:space="preserve">have a </w:t>
      </w:r>
      <w:r w:rsidRPr="00DA2AA6">
        <w:rPr>
          <w:sz w:val="22"/>
          <w:szCs w:val="22"/>
        </w:rPr>
        <w:t>live-at-home and stay-in-school requirement</w:t>
      </w:r>
      <w:r w:rsidR="00DA2AA6">
        <w:rPr>
          <w:sz w:val="22"/>
          <w:szCs w:val="22"/>
        </w:rPr>
        <w:t>.</w:t>
      </w:r>
    </w:p>
    <w:p w:rsidR="00FE3222" w:rsidRPr="00DA2AA6" w:rsidRDefault="00FE3222" w:rsidP="00DA2AA6">
      <w:pPr>
        <w:numPr>
          <w:ilvl w:val="0"/>
          <w:numId w:val="40"/>
        </w:numPr>
        <w:rPr>
          <w:sz w:val="22"/>
          <w:szCs w:val="22"/>
        </w:rPr>
      </w:pPr>
      <w:r w:rsidRPr="00DA2AA6">
        <w:rPr>
          <w:sz w:val="22"/>
          <w:szCs w:val="22"/>
        </w:rPr>
        <w:t>Annual state plan</w:t>
      </w:r>
      <w:r w:rsidR="00DA2AA6">
        <w:rPr>
          <w:sz w:val="22"/>
          <w:szCs w:val="22"/>
        </w:rPr>
        <w:t xml:space="preserve"> required.</w:t>
      </w:r>
    </w:p>
    <w:p w:rsidR="00FE3222" w:rsidRPr="00DA2AA6" w:rsidRDefault="00FE3222" w:rsidP="00DA2AA6">
      <w:pPr>
        <w:numPr>
          <w:ilvl w:val="0"/>
          <w:numId w:val="40"/>
        </w:numPr>
        <w:rPr>
          <w:sz w:val="22"/>
          <w:szCs w:val="22"/>
        </w:rPr>
      </w:pPr>
      <w:proofErr w:type="gramStart"/>
      <w:r w:rsidRPr="00DA2AA6">
        <w:rPr>
          <w:sz w:val="22"/>
          <w:szCs w:val="22"/>
        </w:rPr>
        <w:t>15%</w:t>
      </w:r>
      <w:proofErr w:type="gramEnd"/>
      <w:r w:rsidRPr="00DA2AA6">
        <w:rPr>
          <w:sz w:val="22"/>
          <w:szCs w:val="22"/>
        </w:rPr>
        <w:t xml:space="preserve"> cap on administrative costs</w:t>
      </w:r>
      <w:r w:rsidR="00DA2AA6">
        <w:rPr>
          <w:sz w:val="22"/>
          <w:szCs w:val="22"/>
        </w:rPr>
        <w:t>.</w:t>
      </w:r>
    </w:p>
    <w:p w:rsidR="00FE3222" w:rsidRPr="00DA2AA6" w:rsidRDefault="00FE3222" w:rsidP="00DA2AA6">
      <w:pPr>
        <w:numPr>
          <w:ilvl w:val="0"/>
          <w:numId w:val="40"/>
        </w:numPr>
        <w:rPr>
          <w:sz w:val="22"/>
          <w:szCs w:val="22"/>
        </w:rPr>
      </w:pPr>
      <w:r w:rsidRPr="00DA2AA6">
        <w:rPr>
          <w:sz w:val="22"/>
          <w:szCs w:val="22"/>
        </w:rPr>
        <w:t xml:space="preserve">Allows up to 30% of the TANF block grant to </w:t>
      </w:r>
      <w:proofErr w:type="gramStart"/>
      <w:r w:rsidRPr="00DA2AA6">
        <w:rPr>
          <w:sz w:val="22"/>
          <w:szCs w:val="22"/>
        </w:rPr>
        <w:t>be transferred</w:t>
      </w:r>
      <w:proofErr w:type="gramEnd"/>
      <w:r w:rsidRPr="00DA2AA6">
        <w:rPr>
          <w:sz w:val="22"/>
          <w:szCs w:val="22"/>
        </w:rPr>
        <w:t xml:space="preserve"> to Child Care and Social Services Block Grant Program</w:t>
      </w:r>
      <w:r w:rsidR="00DA2AA6">
        <w:rPr>
          <w:sz w:val="22"/>
          <w:szCs w:val="22"/>
        </w:rPr>
        <w:t>.</w:t>
      </w:r>
    </w:p>
    <w:p w:rsidR="00FE3222" w:rsidRPr="00D57014" w:rsidRDefault="00FE3222" w:rsidP="00DA2AA6">
      <w:pPr>
        <w:numPr>
          <w:ilvl w:val="0"/>
          <w:numId w:val="40"/>
        </w:numPr>
      </w:pPr>
      <w:r w:rsidRPr="00D57014">
        <w:t>State Maintenance of Effort (MOE) requirement</w:t>
      </w:r>
      <w:r w:rsidR="00DA2AA6">
        <w:t>s:</w:t>
      </w:r>
    </w:p>
    <w:p w:rsidR="00FE3222" w:rsidRPr="00D57014" w:rsidRDefault="00FE3222" w:rsidP="00DA2AA6">
      <w:pPr>
        <w:numPr>
          <w:ilvl w:val="1"/>
          <w:numId w:val="40"/>
        </w:numPr>
      </w:pPr>
      <w:r w:rsidRPr="00D57014">
        <w:t>75% of 1995 spending when meeting work participation rates</w:t>
      </w:r>
    </w:p>
    <w:p w:rsidR="00FE3222" w:rsidRPr="00D57014" w:rsidRDefault="00FE3222" w:rsidP="00DA2AA6">
      <w:pPr>
        <w:numPr>
          <w:ilvl w:val="1"/>
          <w:numId w:val="40"/>
        </w:numPr>
      </w:pPr>
      <w:r w:rsidRPr="00D57014">
        <w:t>80% of 1995 spending when not meeting work participation rates</w:t>
      </w:r>
    </w:p>
    <w:p w:rsidR="00C20354" w:rsidRDefault="00FE3222" w:rsidP="00DA2AA6">
      <w:pPr>
        <w:numPr>
          <w:ilvl w:val="0"/>
          <w:numId w:val="40"/>
        </w:numPr>
      </w:pPr>
      <w:r w:rsidRPr="00D57014">
        <w:t>Funding penalties if fail to meet Federal requirements</w:t>
      </w:r>
      <w:r w:rsidR="00B0451E">
        <w:t>.</w:t>
      </w:r>
      <w:r w:rsidRPr="00D57014">
        <w:t xml:space="preserve"> </w:t>
      </w:r>
    </w:p>
    <w:p w:rsidR="00520B3F" w:rsidRPr="00614EAC" w:rsidRDefault="00520B3F">
      <w:pPr>
        <w:rPr>
          <w:sz w:val="22"/>
          <w:szCs w:val="22"/>
        </w:rPr>
      </w:pPr>
    </w:p>
    <w:p w:rsidR="00B0451E" w:rsidRDefault="00B0451E" w:rsidP="00B0451E">
      <w:pPr>
        <w:pStyle w:val="ListParagraph"/>
        <w:numPr>
          <w:ilvl w:val="0"/>
          <w:numId w:val="36"/>
        </w:numPr>
        <w:ind w:left="360"/>
        <w:rPr>
          <w:b/>
          <w:sz w:val="22"/>
          <w:szCs w:val="22"/>
        </w:rPr>
      </w:pPr>
      <w:r w:rsidRPr="00B0451E">
        <w:rPr>
          <w:b/>
          <w:sz w:val="22"/>
          <w:szCs w:val="22"/>
        </w:rPr>
        <w:t>Cash Assistance Eligibility</w:t>
      </w:r>
    </w:p>
    <w:p w:rsidR="0025231E" w:rsidRPr="00B0451E" w:rsidRDefault="0025231E" w:rsidP="0025231E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5310"/>
        <w:gridCol w:w="4860"/>
      </w:tblGrid>
      <w:tr w:rsidR="008F6B49" w:rsidTr="0025231E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F6B49" w:rsidRDefault="008F6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Non-Financial Eligibility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F6B49" w:rsidRDefault="008F6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Financial Eligibility</w:t>
            </w:r>
          </w:p>
        </w:tc>
      </w:tr>
      <w:tr w:rsidR="008F6B49" w:rsidTr="0025231E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9" w:rsidRDefault="008F6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 of New Mexico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9" w:rsidRDefault="008F6B49" w:rsidP="008F6B49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Gross Income </w:t>
            </w:r>
          </w:p>
          <w:p w:rsidR="008F6B49" w:rsidRDefault="008F6B49" w:rsidP="008F6B49">
            <w:pPr>
              <w:numPr>
                <w:ilvl w:val="1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85% of the Federal Poverty Guideline</w:t>
            </w:r>
          </w:p>
        </w:tc>
      </w:tr>
      <w:tr w:rsidR="008F6B49" w:rsidTr="0025231E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9" w:rsidRDefault="008F6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U.S. Citizen or Qualified Legal Immigrant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9" w:rsidRDefault="008F6B49" w:rsidP="008F6B49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</w:t>
            </w:r>
          </w:p>
          <w:p w:rsidR="008F6B49" w:rsidRDefault="008F6B49" w:rsidP="008F6B49">
            <w:pPr>
              <w:numPr>
                <w:ilvl w:val="1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$1,500 or less in liquid resources, such as a bank account</w:t>
            </w:r>
          </w:p>
          <w:p w:rsidR="008F6B49" w:rsidRDefault="008F6B49" w:rsidP="008F6B49">
            <w:pPr>
              <w:numPr>
                <w:ilvl w:val="1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$2,000 or less in non-liquid resources, such as real property</w:t>
            </w:r>
          </w:p>
        </w:tc>
      </w:tr>
      <w:tr w:rsidR="008F6B49" w:rsidTr="0025231E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9" w:rsidRDefault="006206B7" w:rsidP="006206B7">
            <w:pPr>
              <w:rPr>
                <w:sz w:val="22"/>
                <w:szCs w:val="22"/>
              </w:rPr>
            </w:pPr>
            <w:r w:rsidRPr="006206B7">
              <w:rPr>
                <w:sz w:val="22"/>
                <w:szCs w:val="22"/>
              </w:rPr>
              <w:t xml:space="preserve">Families with Dependent Children 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49" w:rsidRDefault="008F6B49">
            <w:pPr>
              <w:rPr>
                <w:sz w:val="22"/>
                <w:szCs w:val="22"/>
              </w:rPr>
            </w:pPr>
          </w:p>
        </w:tc>
      </w:tr>
      <w:tr w:rsidR="008F6B49" w:rsidTr="0025231E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9" w:rsidRDefault="006206B7">
            <w:pPr>
              <w:rPr>
                <w:sz w:val="22"/>
                <w:szCs w:val="22"/>
              </w:rPr>
            </w:pPr>
            <w:r w:rsidRPr="006206B7">
              <w:rPr>
                <w:sz w:val="22"/>
                <w:szCs w:val="22"/>
              </w:rPr>
              <w:t>Social Security Number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49" w:rsidRDefault="008F6B49">
            <w:pPr>
              <w:rPr>
                <w:sz w:val="22"/>
                <w:szCs w:val="22"/>
              </w:rPr>
            </w:pPr>
          </w:p>
        </w:tc>
      </w:tr>
      <w:tr w:rsidR="008F6B49" w:rsidTr="0025231E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49" w:rsidRDefault="006206B7" w:rsidP="00620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Cooperation with work programs and child support enforcement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49" w:rsidRDefault="008F6B49">
            <w:pPr>
              <w:rPr>
                <w:sz w:val="22"/>
                <w:szCs w:val="22"/>
              </w:rPr>
            </w:pPr>
          </w:p>
        </w:tc>
      </w:tr>
    </w:tbl>
    <w:p w:rsidR="008F6B49" w:rsidRDefault="008F6B49" w:rsidP="00B0451E">
      <w:pPr>
        <w:rPr>
          <w:b/>
          <w:sz w:val="22"/>
          <w:szCs w:val="22"/>
        </w:rPr>
      </w:pPr>
    </w:p>
    <w:p w:rsidR="008556EE" w:rsidRDefault="00B0451E" w:rsidP="00EC0268">
      <w:pPr>
        <w:pStyle w:val="ListParagraph"/>
        <w:numPr>
          <w:ilvl w:val="0"/>
          <w:numId w:val="36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Cash Assistance Standards</w:t>
      </w:r>
    </w:p>
    <w:p w:rsidR="0025231E" w:rsidRPr="00EC0268" w:rsidRDefault="0025231E" w:rsidP="0025231E">
      <w:pPr>
        <w:pStyle w:val="ListParagraph"/>
        <w:ind w:left="360"/>
        <w:rPr>
          <w:b/>
          <w:sz w:val="22"/>
          <w:szCs w:val="22"/>
        </w:rPr>
      </w:pPr>
    </w:p>
    <w:tbl>
      <w:tblPr>
        <w:tblpPr w:leftFromText="180" w:rightFromText="180" w:vertAnchor="text" w:horzAnchor="page" w:tblpX="920" w:tblpY="26"/>
        <w:tblW w:w="10059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CellMar>
          <w:left w:w="29" w:type="dxa"/>
          <w:right w:w="29" w:type="dxa"/>
        </w:tblCellMar>
        <w:tblLook w:val="00E0" w:firstRow="1" w:lastRow="1" w:firstColumn="1" w:lastColumn="0" w:noHBand="0" w:noVBand="0"/>
      </w:tblPr>
      <w:tblGrid>
        <w:gridCol w:w="823"/>
        <w:gridCol w:w="1547"/>
        <w:gridCol w:w="1498"/>
        <w:gridCol w:w="824"/>
        <w:gridCol w:w="724"/>
        <w:gridCol w:w="1741"/>
        <w:gridCol w:w="1354"/>
        <w:gridCol w:w="1548"/>
      </w:tblGrid>
      <w:tr w:rsidR="00EC0268" w:rsidRPr="005647AD" w:rsidTr="00EC0268">
        <w:trPr>
          <w:trHeight w:val="616"/>
        </w:trPr>
        <w:tc>
          <w:tcPr>
            <w:tcW w:w="100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660066"/>
              <w:right w:val="single" w:sz="18" w:space="0" w:color="auto"/>
            </w:tcBorders>
            <w:tcMar>
              <w:top w:w="43" w:type="dxa"/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60730" cy="365760"/>
                  <wp:effectExtent l="19050" t="0" r="1270" b="0"/>
                  <wp:wrapSquare wrapText="bothSides"/>
                  <wp:docPr id="6" name="Picture 1" descr="HSDLogo-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SDLogo-Horizontal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757E">
              <w:rPr>
                <w:rFonts w:ascii="Arial Narrow" w:hAnsi="Arial Narrow" w:cs="Arial"/>
                <w:b/>
                <w:sz w:val="22"/>
                <w:szCs w:val="22"/>
              </w:rPr>
              <w:t>Cash Assistance &amp; Support Services</w:t>
            </w:r>
          </w:p>
          <w:p w:rsidR="00EC0268" w:rsidRPr="005647AD" w:rsidRDefault="00EC0268" w:rsidP="00EC0268">
            <w:pPr>
              <w:jc w:val="center"/>
              <w:rPr>
                <w:b/>
                <w:noProof/>
                <w:color w:val="660066"/>
              </w:rPr>
            </w:pPr>
            <w:r w:rsidRPr="009301A1">
              <w:rPr>
                <w:rFonts w:ascii="Arial Narrow" w:hAnsi="Arial Narrow"/>
                <w:b/>
                <w:sz w:val="20"/>
                <w:szCs w:val="22"/>
              </w:rPr>
              <w:t>November 1, 2013 – September 30, 2014</w:t>
            </w:r>
          </w:p>
        </w:tc>
      </w:tr>
      <w:tr w:rsidR="00EC0268" w:rsidRPr="0036757E" w:rsidTr="00EC0268">
        <w:trPr>
          <w:trHeight w:val="386"/>
        </w:trPr>
        <w:tc>
          <w:tcPr>
            <w:tcW w:w="823" w:type="dxa"/>
            <w:vMerge w:val="restart"/>
            <w:tcBorders>
              <w:top w:val="single" w:sz="18" w:space="0" w:color="660066"/>
              <w:left w:val="single" w:sz="12" w:space="0" w:color="auto"/>
              <w:right w:val="single" w:sz="8" w:space="0" w:color="auto"/>
            </w:tcBorders>
            <w:tcMar>
              <w:top w:w="43" w:type="dxa"/>
              <w:left w:w="14" w:type="dxa"/>
              <w:right w:w="14" w:type="dxa"/>
            </w:tcMar>
            <w:textDirection w:val="btLr"/>
            <w:vAlign w:val="center"/>
          </w:tcPr>
          <w:p w:rsidR="00EC0268" w:rsidRPr="0036757E" w:rsidRDefault="00EC0268" w:rsidP="00EC0268">
            <w:pPr>
              <w:ind w:left="113" w:right="113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noProof/>
                <w:sz w:val="16"/>
                <w:szCs w:val="16"/>
              </w:rPr>
              <w:t>House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h</w:t>
            </w:r>
            <w:r w:rsidRPr="0036757E">
              <w:rPr>
                <w:rFonts w:ascii="Arial Narrow" w:hAnsi="Arial Narrow"/>
                <w:b/>
                <w:noProof/>
                <w:sz w:val="16"/>
                <w:szCs w:val="16"/>
              </w:rPr>
              <w:t>old Size</w:t>
            </w:r>
          </w:p>
        </w:tc>
        <w:tc>
          <w:tcPr>
            <w:tcW w:w="4593" w:type="dxa"/>
            <w:gridSpan w:val="4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noProof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noProof/>
                <w:sz w:val="15"/>
                <w:szCs w:val="15"/>
              </w:rPr>
              <w:t>Federal Poverty Guidelines (FPG)</w:t>
            </w:r>
          </w:p>
          <w:p w:rsidR="00EC0268" w:rsidRPr="0036757E" w:rsidRDefault="00991AC5" w:rsidP="00EC0268">
            <w:pPr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5"/>
                <w:szCs w:val="15"/>
              </w:rPr>
              <w:t>Monthly Inco</w:t>
            </w:r>
            <w:r w:rsidR="00EC0268" w:rsidRPr="0036757E">
              <w:rPr>
                <w:rFonts w:ascii="Arial Narrow" w:hAnsi="Arial Narrow"/>
                <w:b/>
                <w:noProof/>
                <w:sz w:val="15"/>
                <w:szCs w:val="15"/>
              </w:rPr>
              <w:t>me Standards</w:t>
            </w:r>
          </w:p>
        </w:tc>
        <w:tc>
          <w:tcPr>
            <w:tcW w:w="4643" w:type="dxa"/>
            <w:gridSpan w:val="3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noProof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noProof/>
                <w:sz w:val="15"/>
                <w:szCs w:val="15"/>
              </w:rPr>
              <w:t>Maximum Monthly Benefit</w:t>
            </w:r>
          </w:p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noProof/>
                <w:sz w:val="15"/>
                <w:szCs w:val="15"/>
              </w:rPr>
            </w:pPr>
          </w:p>
        </w:tc>
      </w:tr>
      <w:tr w:rsidR="00EC0268" w:rsidRPr="0036757E" w:rsidTr="00EC0268">
        <w:trPr>
          <w:trHeight w:val="610"/>
        </w:trPr>
        <w:tc>
          <w:tcPr>
            <w:tcW w:w="82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 xml:space="preserve">100% </w:t>
            </w:r>
            <w:proofErr w:type="spellStart"/>
            <w:r w:rsidRPr="0036757E">
              <w:rPr>
                <w:rFonts w:ascii="Arial Narrow" w:hAnsi="Arial Narrow"/>
                <w:b/>
                <w:sz w:val="15"/>
                <w:szCs w:val="15"/>
              </w:rPr>
              <w:t>FPG</w:t>
            </w:r>
            <w:proofErr w:type="spellEnd"/>
          </w:p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>Net Limit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 xml:space="preserve">85% </w:t>
            </w:r>
            <w:proofErr w:type="spellStart"/>
            <w:r w:rsidRPr="0036757E">
              <w:rPr>
                <w:rFonts w:ascii="Arial Narrow" w:hAnsi="Arial Narrow"/>
                <w:b/>
                <w:sz w:val="15"/>
                <w:szCs w:val="15"/>
              </w:rPr>
              <w:t>FPG</w:t>
            </w:r>
            <w:proofErr w:type="spellEnd"/>
          </w:p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>Gross Limit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 xml:space="preserve">NM Works </w:t>
            </w:r>
          </w:p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 xml:space="preserve">Cash </w:t>
            </w:r>
          </w:p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>Assistance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 xml:space="preserve">15% </w:t>
            </w:r>
            <w:proofErr w:type="spellStart"/>
            <w:r w:rsidRPr="0036757E">
              <w:rPr>
                <w:rFonts w:ascii="Arial Narrow" w:hAnsi="Arial Narrow"/>
                <w:b/>
                <w:sz w:val="15"/>
                <w:szCs w:val="15"/>
              </w:rPr>
              <w:t>NMW</w:t>
            </w:r>
            <w:proofErr w:type="spellEnd"/>
            <w:r w:rsidRPr="0036757E">
              <w:rPr>
                <w:rFonts w:ascii="Arial Narrow" w:hAnsi="Arial Narrow"/>
                <w:b/>
                <w:sz w:val="15"/>
                <w:szCs w:val="15"/>
              </w:rPr>
              <w:t xml:space="preserve"> Budgetary Adjustment*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>Maximum Monthly Benefit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 xml:space="preserve">General </w:t>
            </w:r>
          </w:p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6757E">
              <w:rPr>
                <w:rFonts w:ascii="Arial Narrow" w:hAnsi="Arial Narrow"/>
                <w:b/>
                <w:sz w:val="15"/>
                <w:szCs w:val="15"/>
              </w:rPr>
              <w:t>Assistance</w:t>
            </w:r>
          </w:p>
        </w:tc>
      </w:tr>
      <w:tr w:rsidR="00EC0268" w:rsidRPr="0036757E" w:rsidTr="00EC0268">
        <w:trPr>
          <w:trHeight w:hRule="exact" w:val="247"/>
        </w:trPr>
        <w:tc>
          <w:tcPr>
            <w:tcW w:w="82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$958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$814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$</w:t>
            </w:r>
            <w:r>
              <w:rPr>
                <w:rFonts w:ascii="Arial Narrow" w:hAnsi="Arial Narrow"/>
                <w:b/>
                <w:sz w:val="16"/>
                <w:szCs w:val="16"/>
              </w:rPr>
              <w:t>266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$39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$227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$245</w:t>
            </w:r>
          </w:p>
        </w:tc>
      </w:tr>
      <w:tr w:rsidR="00EC0268" w:rsidRPr="0036757E" w:rsidTr="00EC0268">
        <w:trPr>
          <w:trHeight w:hRule="exact" w:val="247"/>
        </w:trPr>
        <w:tc>
          <w:tcPr>
            <w:tcW w:w="82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$1,293</w:t>
            </w: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$1,099</w:t>
            </w:r>
          </w:p>
        </w:tc>
        <w:tc>
          <w:tcPr>
            <w:tcW w:w="154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$</w:t>
            </w:r>
            <w:r>
              <w:rPr>
                <w:rFonts w:ascii="Arial Narrow" w:hAnsi="Arial Narrow"/>
                <w:b/>
                <w:sz w:val="16"/>
                <w:szCs w:val="16"/>
              </w:rPr>
              <w:t>357</w:t>
            </w:r>
          </w:p>
        </w:tc>
        <w:tc>
          <w:tcPr>
            <w:tcW w:w="1741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$53</w:t>
            </w: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$304</w:t>
            </w:r>
          </w:p>
        </w:tc>
        <w:tc>
          <w:tcPr>
            <w:tcW w:w="15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$329</w:t>
            </w:r>
          </w:p>
        </w:tc>
      </w:tr>
      <w:tr w:rsidR="00EC0268" w:rsidRPr="0036757E" w:rsidTr="00EC0268">
        <w:trPr>
          <w:trHeight w:hRule="exact" w:val="247"/>
        </w:trPr>
        <w:tc>
          <w:tcPr>
            <w:tcW w:w="823" w:type="dxa"/>
            <w:tcBorders>
              <w:left w:val="single" w:sz="1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$1,628</w:t>
            </w: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$1,384</w:t>
            </w:r>
          </w:p>
        </w:tc>
        <w:tc>
          <w:tcPr>
            <w:tcW w:w="154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$</w:t>
            </w:r>
            <w:r>
              <w:rPr>
                <w:rFonts w:ascii="Arial Narrow" w:hAnsi="Arial Narrow"/>
                <w:b/>
                <w:sz w:val="16"/>
                <w:szCs w:val="16"/>
              </w:rPr>
              <w:t>447</w:t>
            </w:r>
          </w:p>
        </w:tc>
        <w:tc>
          <w:tcPr>
            <w:tcW w:w="1741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$67</w:t>
            </w: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$380</w:t>
            </w:r>
          </w:p>
        </w:tc>
        <w:tc>
          <w:tcPr>
            <w:tcW w:w="15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$412</w:t>
            </w:r>
          </w:p>
        </w:tc>
      </w:tr>
      <w:tr w:rsidR="00EC0268" w:rsidRPr="0036757E" w:rsidTr="00EC0268">
        <w:trPr>
          <w:trHeight w:hRule="exact" w:val="247"/>
        </w:trPr>
        <w:tc>
          <w:tcPr>
            <w:tcW w:w="823" w:type="dxa"/>
            <w:tcBorders>
              <w:left w:val="single" w:sz="1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$1,963</w:t>
            </w: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$1,669</w:t>
            </w:r>
          </w:p>
        </w:tc>
        <w:tc>
          <w:tcPr>
            <w:tcW w:w="154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$</w:t>
            </w:r>
            <w:r>
              <w:rPr>
                <w:rFonts w:ascii="Arial Narrow" w:hAnsi="Arial Narrow"/>
                <w:b/>
                <w:sz w:val="16"/>
                <w:szCs w:val="16"/>
              </w:rPr>
              <w:t>539</w:t>
            </w:r>
          </w:p>
        </w:tc>
        <w:tc>
          <w:tcPr>
            <w:tcW w:w="1741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$80</w:t>
            </w: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$459</w:t>
            </w:r>
          </w:p>
        </w:tc>
        <w:tc>
          <w:tcPr>
            <w:tcW w:w="15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$496</w:t>
            </w:r>
          </w:p>
        </w:tc>
      </w:tr>
      <w:tr w:rsidR="00EC0268" w:rsidRPr="0036757E" w:rsidTr="00EC0268">
        <w:trPr>
          <w:trHeight w:hRule="exact" w:val="247"/>
        </w:trPr>
        <w:tc>
          <w:tcPr>
            <w:tcW w:w="823" w:type="dxa"/>
            <w:tcBorders>
              <w:left w:val="single" w:sz="1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$2,298</w:t>
            </w: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$1,953</w:t>
            </w:r>
          </w:p>
        </w:tc>
        <w:tc>
          <w:tcPr>
            <w:tcW w:w="154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$</w:t>
            </w:r>
            <w:r>
              <w:rPr>
                <w:rFonts w:ascii="Arial Narrow" w:hAnsi="Arial Narrow"/>
                <w:b/>
                <w:sz w:val="16"/>
                <w:szCs w:val="16"/>
              </w:rPr>
              <w:t>630</w:t>
            </w:r>
          </w:p>
        </w:tc>
        <w:tc>
          <w:tcPr>
            <w:tcW w:w="1741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$94</w:t>
            </w: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$536</w:t>
            </w:r>
          </w:p>
        </w:tc>
        <w:tc>
          <w:tcPr>
            <w:tcW w:w="15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$580</w:t>
            </w:r>
          </w:p>
        </w:tc>
      </w:tr>
      <w:tr w:rsidR="00EC0268" w:rsidRPr="0036757E" w:rsidTr="00EC0268">
        <w:trPr>
          <w:trHeight w:hRule="exact" w:val="247"/>
        </w:trPr>
        <w:tc>
          <w:tcPr>
            <w:tcW w:w="823" w:type="dxa"/>
            <w:tcBorders>
              <w:left w:val="single" w:sz="1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$2,633</w:t>
            </w: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$2,238</w:t>
            </w:r>
          </w:p>
        </w:tc>
        <w:tc>
          <w:tcPr>
            <w:tcW w:w="154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$721</w:t>
            </w:r>
          </w:p>
        </w:tc>
        <w:tc>
          <w:tcPr>
            <w:tcW w:w="1741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$108</w:t>
            </w: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$613</w:t>
            </w:r>
          </w:p>
        </w:tc>
        <w:tc>
          <w:tcPr>
            <w:tcW w:w="15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$664</w:t>
            </w:r>
          </w:p>
        </w:tc>
      </w:tr>
      <w:tr w:rsidR="00EC0268" w:rsidRPr="0036757E" w:rsidTr="00EC0268">
        <w:trPr>
          <w:trHeight w:hRule="exact" w:val="247"/>
        </w:trPr>
        <w:tc>
          <w:tcPr>
            <w:tcW w:w="823" w:type="dxa"/>
            <w:tcBorders>
              <w:left w:val="single" w:sz="1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$2,968</w:t>
            </w:r>
          </w:p>
        </w:tc>
        <w:tc>
          <w:tcPr>
            <w:tcW w:w="1498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$2,523</w:t>
            </w:r>
          </w:p>
        </w:tc>
        <w:tc>
          <w:tcPr>
            <w:tcW w:w="154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$812</w:t>
            </w:r>
          </w:p>
        </w:tc>
        <w:tc>
          <w:tcPr>
            <w:tcW w:w="1741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$121</w:t>
            </w: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$691</w:t>
            </w:r>
          </w:p>
        </w:tc>
        <w:tc>
          <w:tcPr>
            <w:tcW w:w="15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$748</w:t>
            </w:r>
          </w:p>
        </w:tc>
      </w:tr>
      <w:tr w:rsidR="00EC0268" w:rsidRPr="0036757E" w:rsidTr="00EC0268">
        <w:trPr>
          <w:trHeight w:hRule="exact" w:val="247"/>
        </w:trPr>
        <w:tc>
          <w:tcPr>
            <w:tcW w:w="823" w:type="dxa"/>
            <w:tcBorders>
              <w:left w:val="single" w:sz="12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757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547" w:type="dxa"/>
            <w:tcBorders>
              <w:left w:val="single" w:sz="8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$3,303</w:t>
            </w:r>
          </w:p>
        </w:tc>
        <w:tc>
          <w:tcPr>
            <w:tcW w:w="1498" w:type="dxa"/>
            <w:tcBorders>
              <w:left w:val="single" w:sz="8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$2,808</w:t>
            </w:r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$922</w:t>
            </w:r>
          </w:p>
        </w:tc>
        <w:tc>
          <w:tcPr>
            <w:tcW w:w="1741" w:type="dxa"/>
            <w:tcBorders>
              <w:left w:val="single" w:sz="8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$138</w:t>
            </w:r>
          </w:p>
        </w:tc>
        <w:tc>
          <w:tcPr>
            <w:tcW w:w="1354" w:type="dxa"/>
            <w:tcBorders>
              <w:left w:val="single" w:sz="8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$784</w:t>
            </w:r>
          </w:p>
        </w:tc>
        <w:tc>
          <w:tcPr>
            <w:tcW w:w="1548" w:type="dxa"/>
            <w:tcBorders>
              <w:left w:val="single" w:sz="8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$849</w:t>
            </w:r>
          </w:p>
        </w:tc>
      </w:tr>
      <w:tr w:rsidR="00EC0268" w:rsidRPr="0036757E" w:rsidTr="00EC0268">
        <w:trPr>
          <w:trHeight w:hRule="exact" w:val="267"/>
        </w:trPr>
        <w:tc>
          <w:tcPr>
            <w:tcW w:w="823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Pr="0036757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547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+$335</w:t>
            </w:r>
          </w:p>
        </w:tc>
        <w:tc>
          <w:tcPr>
            <w:tcW w:w="1498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+285</w:t>
            </w:r>
          </w:p>
        </w:tc>
        <w:tc>
          <w:tcPr>
            <w:tcW w:w="1547" w:type="dxa"/>
            <w:gridSpan w:val="2"/>
            <w:tcBorders>
              <w:top w:val="double" w:sz="2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+$91</w:t>
            </w:r>
          </w:p>
        </w:tc>
        <w:tc>
          <w:tcPr>
            <w:tcW w:w="1741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+$14</w:t>
            </w:r>
          </w:p>
        </w:tc>
        <w:tc>
          <w:tcPr>
            <w:tcW w:w="1354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+$77</w:t>
            </w:r>
          </w:p>
        </w:tc>
        <w:tc>
          <w:tcPr>
            <w:tcW w:w="1548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EC0268" w:rsidRPr="0036757E" w:rsidRDefault="00EC0268" w:rsidP="00EC026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+$84</w:t>
            </w:r>
          </w:p>
        </w:tc>
      </w:tr>
      <w:tr w:rsidR="00EC0268" w:rsidRPr="00443AFA" w:rsidTr="00EC0268">
        <w:trPr>
          <w:trHeight w:val="434"/>
        </w:trPr>
        <w:tc>
          <w:tcPr>
            <w:tcW w:w="4692" w:type="dxa"/>
            <w:gridSpan w:val="4"/>
            <w:tcBorders>
              <w:top w:val="double" w:sz="2" w:space="0" w:color="auto"/>
              <w:left w:val="single" w:sz="12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Default="00EC0268" w:rsidP="00EC0268">
            <w:pPr>
              <w:rPr>
                <w:rFonts w:ascii="Arial Narrow" w:hAnsi="Arial Narrow"/>
                <w:b/>
                <w:sz w:val="15"/>
                <w:szCs w:val="15"/>
                <w:u w:val="single"/>
              </w:rPr>
            </w:pPr>
          </w:p>
          <w:p w:rsidR="00EC0268" w:rsidRPr="0036757E" w:rsidRDefault="00EC0268" w:rsidP="00EC0268">
            <w:pPr>
              <w:rPr>
                <w:rFonts w:ascii="Arial Narrow" w:hAnsi="Arial Narrow"/>
                <w:b/>
                <w:sz w:val="15"/>
                <w:szCs w:val="15"/>
                <w:u w:val="single"/>
              </w:rPr>
            </w:pPr>
            <w:r w:rsidRPr="0091194E"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  <w:r w:rsidRPr="0036757E">
              <w:rPr>
                <w:rFonts w:ascii="Arial Narrow" w:hAnsi="Arial Narrow"/>
                <w:b/>
                <w:sz w:val="15"/>
                <w:szCs w:val="15"/>
                <w:u w:val="single"/>
              </w:rPr>
              <w:t>DEDUCTIONS:</w:t>
            </w:r>
          </w:p>
          <w:p w:rsidR="00EC0268" w:rsidRPr="00B0134B" w:rsidRDefault="00EC0268" w:rsidP="00EC0268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  <w:r w:rsidRPr="0036757E">
              <w:rPr>
                <w:rFonts w:ascii="Arial Narrow" w:hAnsi="Arial Narrow"/>
                <w:b/>
                <w:sz w:val="15"/>
                <w:szCs w:val="15"/>
              </w:rPr>
              <w:t>Dependent Care</w:t>
            </w:r>
          </w:p>
        </w:tc>
        <w:tc>
          <w:tcPr>
            <w:tcW w:w="5367" w:type="dxa"/>
            <w:gridSpan w:val="4"/>
            <w:tcBorders>
              <w:top w:val="double" w:sz="2" w:space="0" w:color="auto"/>
              <w:left w:val="single" w:sz="8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EC0268" w:rsidRDefault="00EC0268" w:rsidP="00EC0268">
            <w:pPr>
              <w:rPr>
                <w:rFonts w:ascii="Arial Narrow" w:hAnsi="Arial Narrow"/>
                <w:b/>
                <w:sz w:val="15"/>
                <w:szCs w:val="15"/>
                <w:u w:val="single"/>
              </w:rPr>
            </w:pPr>
          </w:p>
          <w:p w:rsidR="00EC0268" w:rsidRDefault="00EC0268" w:rsidP="00EC0268">
            <w:pPr>
              <w:rPr>
                <w:rFonts w:ascii="Arial Narrow" w:hAnsi="Arial Narrow"/>
                <w:b/>
                <w:sz w:val="15"/>
                <w:szCs w:val="15"/>
                <w:u w:val="single"/>
              </w:rPr>
            </w:pPr>
            <w:r w:rsidRPr="0091194E"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b/>
                <w:sz w:val="15"/>
                <w:szCs w:val="15"/>
                <w:u w:val="single"/>
              </w:rPr>
              <w:t>WORK INCENTIVES:</w:t>
            </w:r>
          </w:p>
          <w:p w:rsidR="00EC0268" w:rsidRPr="00443AFA" w:rsidRDefault="00EC0268" w:rsidP="00EC0268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 Earned Income Disregard</w:t>
            </w:r>
          </w:p>
        </w:tc>
      </w:tr>
      <w:tr w:rsidR="00EC0268" w:rsidRPr="0036757E" w:rsidTr="00EC0268">
        <w:trPr>
          <w:trHeight w:val="445"/>
        </w:trPr>
        <w:tc>
          <w:tcPr>
            <w:tcW w:w="469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  <w:r w:rsidRPr="0036757E">
              <w:rPr>
                <w:rFonts w:ascii="Arial Narrow" w:hAnsi="Arial Narrow"/>
                <w:b/>
                <w:sz w:val="15"/>
                <w:szCs w:val="15"/>
              </w:rPr>
              <w:t>For a child under age 2 = $200</w:t>
            </w:r>
          </w:p>
          <w:p w:rsidR="00EC0268" w:rsidRPr="0036757E" w:rsidRDefault="00EC0268" w:rsidP="00EC0268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  <w:r w:rsidRPr="0036757E">
              <w:rPr>
                <w:rFonts w:ascii="Arial Narrow" w:hAnsi="Arial Narrow"/>
                <w:b/>
                <w:sz w:val="15"/>
                <w:szCs w:val="15"/>
              </w:rPr>
              <w:t>For a child age 2 and over = $175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Pr="0036757E" w:rsidRDefault="00EC0268" w:rsidP="00EC0268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  <w:r w:rsidRPr="0036757E">
              <w:rPr>
                <w:rFonts w:ascii="Arial Narrow" w:hAnsi="Arial Narrow"/>
                <w:b/>
                <w:sz w:val="15"/>
                <w:szCs w:val="15"/>
              </w:rPr>
              <w:t>Single parent =  $125 &amp; 1/2 remainder</w:t>
            </w:r>
          </w:p>
          <w:p w:rsidR="00EC0268" w:rsidRPr="0036757E" w:rsidRDefault="00EC0268" w:rsidP="00EC0268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  <w:r w:rsidRPr="0036757E">
              <w:rPr>
                <w:rFonts w:ascii="Arial Narrow" w:hAnsi="Arial Narrow"/>
                <w:b/>
                <w:sz w:val="15"/>
                <w:szCs w:val="15"/>
              </w:rPr>
              <w:t>Two-parent = $225 &amp; 1/2 remainder</w:t>
            </w:r>
          </w:p>
        </w:tc>
      </w:tr>
      <w:tr w:rsidR="00EC0268" w:rsidRPr="0036757E" w:rsidTr="00EC0268">
        <w:trPr>
          <w:trHeight w:val="483"/>
        </w:trPr>
        <w:tc>
          <w:tcPr>
            <w:tcW w:w="1005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268" w:rsidRDefault="00EC0268" w:rsidP="00EC0268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lastRenderedPageBreak/>
              <w:t xml:space="preserve"> </w:t>
            </w:r>
            <w:r w:rsidRPr="0036757E">
              <w:rPr>
                <w:rFonts w:ascii="Arial Narrow" w:hAnsi="Arial Narrow"/>
                <w:b/>
                <w:sz w:val="15"/>
                <w:szCs w:val="15"/>
              </w:rPr>
              <w:t xml:space="preserve">*15% Budgetary Adjustment is subtracted from the eligible </w:t>
            </w:r>
            <w:proofErr w:type="spellStart"/>
            <w:r w:rsidRPr="0036757E">
              <w:rPr>
                <w:rFonts w:ascii="Arial Narrow" w:hAnsi="Arial Narrow"/>
                <w:b/>
                <w:sz w:val="15"/>
                <w:szCs w:val="15"/>
              </w:rPr>
              <w:t>NMW</w:t>
            </w:r>
            <w:proofErr w:type="spellEnd"/>
            <w:r w:rsidRPr="0036757E">
              <w:rPr>
                <w:rFonts w:ascii="Arial Narrow" w:hAnsi="Arial Narrow"/>
                <w:b/>
                <w:sz w:val="15"/>
                <w:szCs w:val="15"/>
              </w:rPr>
              <w:t xml:space="preserve"> amount to </w:t>
            </w:r>
          </w:p>
          <w:p w:rsidR="00EC0268" w:rsidRPr="0036757E" w:rsidRDefault="0025231E" w:rsidP="00EC0268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  <w:r w:rsidR="00EC0268"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  <w:proofErr w:type="gramStart"/>
            <w:r w:rsidR="00EC0268" w:rsidRPr="0036757E">
              <w:rPr>
                <w:rFonts w:ascii="Arial Narrow" w:hAnsi="Arial Narrow"/>
                <w:b/>
                <w:sz w:val="15"/>
                <w:szCs w:val="15"/>
              </w:rPr>
              <w:t>determine</w:t>
            </w:r>
            <w:proofErr w:type="gramEnd"/>
            <w:r w:rsidR="00EC0268" w:rsidRPr="0036757E">
              <w:rPr>
                <w:rFonts w:ascii="Arial Narrow" w:hAnsi="Arial Narrow"/>
                <w:b/>
                <w:sz w:val="15"/>
                <w:szCs w:val="15"/>
              </w:rPr>
              <w:t xml:space="preserve"> maximum monthly benefit.</w:t>
            </w:r>
          </w:p>
        </w:tc>
      </w:tr>
    </w:tbl>
    <w:p w:rsidR="008556EE" w:rsidRDefault="008556EE">
      <w:pPr>
        <w:rPr>
          <w:b/>
          <w:sz w:val="22"/>
          <w:szCs w:val="22"/>
        </w:rPr>
      </w:pPr>
    </w:p>
    <w:p w:rsidR="00797658" w:rsidRPr="00086ED5" w:rsidRDefault="009A5FCE" w:rsidP="00086ED5">
      <w:pPr>
        <w:pStyle w:val="ListParagraph"/>
        <w:numPr>
          <w:ilvl w:val="0"/>
          <w:numId w:val="36"/>
        </w:numPr>
        <w:tabs>
          <w:tab w:val="left" w:pos="90"/>
          <w:tab w:val="left" w:pos="1170"/>
        </w:tabs>
        <w:ind w:left="360"/>
        <w:rPr>
          <w:b/>
          <w:sz w:val="22"/>
          <w:szCs w:val="22"/>
        </w:rPr>
      </w:pPr>
      <w:r w:rsidRPr="00086ED5">
        <w:rPr>
          <w:b/>
          <w:sz w:val="22"/>
          <w:szCs w:val="22"/>
        </w:rPr>
        <w:t>N</w:t>
      </w:r>
      <w:r w:rsidR="00947756" w:rsidRPr="00086ED5">
        <w:rPr>
          <w:b/>
          <w:sz w:val="22"/>
          <w:szCs w:val="22"/>
        </w:rPr>
        <w:t>ew Mexico Caseload Information</w:t>
      </w:r>
      <w:r w:rsidR="00A821A1" w:rsidRPr="00086ED5">
        <w:rPr>
          <w:b/>
          <w:sz w:val="22"/>
          <w:szCs w:val="22"/>
        </w:rPr>
        <w:t xml:space="preserve"> – </w:t>
      </w:r>
      <w:r w:rsidR="004D04BB">
        <w:rPr>
          <w:b/>
          <w:sz w:val="22"/>
          <w:szCs w:val="22"/>
        </w:rPr>
        <w:t>June 2013</w:t>
      </w:r>
    </w:p>
    <w:p w:rsidR="00DC2932" w:rsidRPr="00086ED5" w:rsidRDefault="004D04BB" w:rsidP="00A821A1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14,073</w:t>
      </w:r>
      <w:r w:rsidR="00C341EC" w:rsidRPr="00086ED5">
        <w:rPr>
          <w:sz w:val="22"/>
          <w:szCs w:val="22"/>
        </w:rPr>
        <w:t xml:space="preserve"> </w:t>
      </w:r>
      <w:r w:rsidR="00A41D73" w:rsidRPr="00086ED5">
        <w:rPr>
          <w:sz w:val="22"/>
          <w:szCs w:val="22"/>
        </w:rPr>
        <w:t xml:space="preserve">- </w:t>
      </w:r>
      <w:r w:rsidR="00DC2932" w:rsidRPr="00086ED5">
        <w:rPr>
          <w:sz w:val="22"/>
          <w:szCs w:val="22"/>
        </w:rPr>
        <w:t>TANF Households</w:t>
      </w:r>
      <w:r w:rsidR="0041570B" w:rsidRPr="00086ED5">
        <w:rPr>
          <w:sz w:val="22"/>
          <w:szCs w:val="22"/>
        </w:rPr>
        <w:t xml:space="preserve"> (includes child only households)</w:t>
      </w:r>
    </w:p>
    <w:p w:rsidR="004B560E" w:rsidRPr="00086ED5" w:rsidRDefault="004D04BB" w:rsidP="008729BC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33,486</w:t>
      </w:r>
      <w:r w:rsidR="00B11CA3" w:rsidRPr="00086ED5">
        <w:rPr>
          <w:sz w:val="22"/>
          <w:szCs w:val="22"/>
        </w:rPr>
        <w:t xml:space="preserve"> individuals, of which </w:t>
      </w:r>
      <w:r>
        <w:rPr>
          <w:sz w:val="22"/>
          <w:szCs w:val="22"/>
        </w:rPr>
        <w:t>21,280</w:t>
      </w:r>
      <w:r w:rsidR="00B11CA3" w:rsidRPr="00086ED5">
        <w:rPr>
          <w:sz w:val="22"/>
          <w:szCs w:val="22"/>
        </w:rPr>
        <w:t>, or 63.</w:t>
      </w:r>
      <w:r>
        <w:rPr>
          <w:sz w:val="22"/>
          <w:szCs w:val="22"/>
        </w:rPr>
        <w:t>5</w:t>
      </w:r>
      <w:r w:rsidR="00B11CA3" w:rsidRPr="00086ED5">
        <w:rPr>
          <w:sz w:val="22"/>
          <w:szCs w:val="22"/>
        </w:rPr>
        <w:t>%, are children</w:t>
      </w:r>
    </w:p>
    <w:p w:rsidR="00194ABE" w:rsidRPr="00CF5BBE" w:rsidRDefault="00194ABE" w:rsidP="00194ABE">
      <w:pPr>
        <w:numPr>
          <w:ilvl w:val="0"/>
          <w:numId w:val="12"/>
        </w:numPr>
        <w:rPr>
          <w:sz w:val="22"/>
          <w:szCs w:val="22"/>
        </w:rPr>
      </w:pPr>
      <w:r w:rsidRPr="00CF5BBE">
        <w:rPr>
          <w:sz w:val="22"/>
          <w:szCs w:val="22"/>
        </w:rPr>
        <w:t>Length of Time on TANF</w:t>
      </w:r>
      <w:r w:rsidR="00941E7A" w:rsidRPr="00CF5BBE">
        <w:rPr>
          <w:sz w:val="22"/>
          <w:szCs w:val="22"/>
        </w:rPr>
        <w:t xml:space="preserve"> </w:t>
      </w:r>
      <w:r w:rsidR="00941E7A" w:rsidRPr="00CF5BBE">
        <w:rPr>
          <w:i/>
          <w:sz w:val="22"/>
          <w:szCs w:val="22"/>
        </w:rPr>
        <w:t xml:space="preserve">(Source: Dispatch report </w:t>
      </w:r>
      <w:proofErr w:type="spellStart"/>
      <w:r w:rsidR="00941E7A" w:rsidRPr="00CF5BBE">
        <w:rPr>
          <w:i/>
          <w:sz w:val="22"/>
          <w:szCs w:val="22"/>
        </w:rPr>
        <w:t>HIRECVR</w:t>
      </w:r>
      <w:proofErr w:type="spellEnd"/>
      <w:r w:rsidR="00941E7A" w:rsidRPr="00CF5BBE">
        <w:rPr>
          <w:i/>
          <w:sz w:val="22"/>
          <w:szCs w:val="22"/>
        </w:rPr>
        <w:t>)</w:t>
      </w:r>
    </w:p>
    <w:p w:rsidR="00194ABE" w:rsidRPr="00CF5BBE" w:rsidRDefault="00194ABE" w:rsidP="008729BC">
      <w:pPr>
        <w:numPr>
          <w:ilvl w:val="0"/>
          <w:numId w:val="43"/>
        </w:numPr>
        <w:tabs>
          <w:tab w:val="clear" w:pos="720"/>
          <w:tab w:val="num" w:pos="1170"/>
        </w:tabs>
        <w:ind w:left="1170"/>
        <w:rPr>
          <w:sz w:val="22"/>
          <w:szCs w:val="22"/>
        </w:rPr>
      </w:pPr>
      <w:r w:rsidRPr="00CF5BBE">
        <w:rPr>
          <w:sz w:val="22"/>
          <w:szCs w:val="22"/>
        </w:rPr>
        <w:t xml:space="preserve">0-12 months </w:t>
      </w:r>
      <w:r w:rsidR="00FC656E" w:rsidRPr="00CF5BBE">
        <w:rPr>
          <w:sz w:val="22"/>
          <w:szCs w:val="22"/>
        </w:rPr>
        <w:t>–</w:t>
      </w:r>
      <w:r w:rsidRPr="00CF5BBE">
        <w:rPr>
          <w:sz w:val="22"/>
          <w:szCs w:val="22"/>
        </w:rPr>
        <w:t xml:space="preserve"> </w:t>
      </w:r>
      <w:r w:rsidR="00296C54" w:rsidRPr="00CF5BBE">
        <w:rPr>
          <w:sz w:val="22"/>
          <w:szCs w:val="22"/>
        </w:rPr>
        <w:t>6</w:t>
      </w:r>
      <w:r w:rsidR="004D04BB" w:rsidRPr="00CF5BBE">
        <w:rPr>
          <w:sz w:val="22"/>
          <w:szCs w:val="22"/>
        </w:rPr>
        <w:t>5</w:t>
      </w:r>
      <w:r w:rsidRPr="00CF5BBE">
        <w:rPr>
          <w:sz w:val="22"/>
          <w:szCs w:val="22"/>
        </w:rPr>
        <w:t>% of households</w:t>
      </w:r>
    </w:p>
    <w:p w:rsidR="00194ABE" w:rsidRPr="00CF5BBE" w:rsidRDefault="00194ABE" w:rsidP="008729BC">
      <w:pPr>
        <w:numPr>
          <w:ilvl w:val="0"/>
          <w:numId w:val="43"/>
        </w:numPr>
        <w:tabs>
          <w:tab w:val="clear" w:pos="720"/>
          <w:tab w:val="num" w:pos="1170"/>
        </w:tabs>
        <w:ind w:left="1170"/>
        <w:rPr>
          <w:sz w:val="22"/>
          <w:szCs w:val="22"/>
        </w:rPr>
      </w:pPr>
      <w:r w:rsidRPr="00CF5BBE">
        <w:rPr>
          <w:sz w:val="22"/>
          <w:szCs w:val="22"/>
        </w:rPr>
        <w:t xml:space="preserve">13-24 months </w:t>
      </w:r>
      <w:r w:rsidR="00163DCC" w:rsidRPr="00CF5BBE">
        <w:rPr>
          <w:sz w:val="22"/>
          <w:szCs w:val="22"/>
        </w:rPr>
        <w:t>–</w:t>
      </w:r>
      <w:r w:rsidRPr="00CF5BBE">
        <w:rPr>
          <w:sz w:val="22"/>
          <w:szCs w:val="22"/>
        </w:rPr>
        <w:t xml:space="preserve"> </w:t>
      </w:r>
      <w:r w:rsidR="00296C54" w:rsidRPr="00CF5BBE">
        <w:rPr>
          <w:sz w:val="22"/>
          <w:szCs w:val="22"/>
        </w:rPr>
        <w:t>1</w:t>
      </w:r>
      <w:r w:rsidR="004D04BB" w:rsidRPr="00CF5BBE">
        <w:rPr>
          <w:sz w:val="22"/>
          <w:szCs w:val="22"/>
        </w:rPr>
        <w:t>4</w:t>
      </w:r>
      <w:r w:rsidR="005F538D" w:rsidRPr="00CF5BBE">
        <w:rPr>
          <w:sz w:val="22"/>
          <w:szCs w:val="22"/>
        </w:rPr>
        <w:t>%</w:t>
      </w:r>
      <w:r w:rsidRPr="00CF5BBE">
        <w:rPr>
          <w:sz w:val="22"/>
          <w:szCs w:val="22"/>
        </w:rPr>
        <w:t xml:space="preserve"> of households</w:t>
      </w:r>
    </w:p>
    <w:p w:rsidR="00194ABE" w:rsidRPr="00CF5BBE" w:rsidRDefault="00194ABE" w:rsidP="008729BC">
      <w:pPr>
        <w:numPr>
          <w:ilvl w:val="0"/>
          <w:numId w:val="43"/>
        </w:numPr>
        <w:tabs>
          <w:tab w:val="clear" w:pos="720"/>
          <w:tab w:val="num" w:pos="1170"/>
        </w:tabs>
        <w:ind w:left="1170"/>
        <w:rPr>
          <w:sz w:val="22"/>
          <w:szCs w:val="22"/>
        </w:rPr>
      </w:pPr>
      <w:r w:rsidRPr="00CF5BBE">
        <w:rPr>
          <w:sz w:val="22"/>
          <w:szCs w:val="22"/>
        </w:rPr>
        <w:t xml:space="preserve">25-36 months </w:t>
      </w:r>
      <w:r w:rsidR="00FC656E" w:rsidRPr="00CF5BBE">
        <w:rPr>
          <w:sz w:val="22"/>
          <w:szCs w:val="22"/>
        </w:rPr>
        <w:t>–</w:t>
      </w:r>
      <w:r w:rsidRPr="00CF5BBE">
        <w:rPr>
          <w:sz w:val="22"/>
          <w:szCs w:val="22"/>
        </w:rPr>
        <w:t xml:space="preserve"> </w:t>
      </w:r>
      <w:r w:rsidR="00FF7494" w:rsidRPr="00CF5BBE">
        <w:rPr>
          <w:sz w:val="22"/>
          <w:szCs w:val="22"/>
        </w:rPr>
        <w:t>7</w:t>
      </w:r>
      <w:r w:rsidRPr="00CF5BBE">
        <w:rPr>
          <w:sz w:val="22"/>
          <w:szCs w:val="22"/>
        </w:rPr>
        <w:t>% of households</w:t>
      </w:r>
    </w:p>
    <w:p w:rsidR="00194ABE" w:rsidRPr="00CF5BBE" w:rsidRDefault="00194ABE" w:rsidP="008729BC">
      <w:pPr>
        <w:numPr>
          <w:ilvl w:val="0"/>
          <w:numId w:val="43"/>
        </w:numPr>
        <w:tabs>
          <w:tab w:val="clear" w:pos="720"/>
          <w:tab w:val="num" w:pos="1170"/>
        </w:tabs>
        <w:ind w:left="1170"/>
        <w:rPr>
          <w:sz w:val="22"/>
          <w:szCs w:val="22"/>
        </w:rPr>
      </w:pPr>
      <w:r w:rsidRPr="00CF5BBE">
        <w:rPr>
          <w:sz w:val="22"/>
          <w:szCs w:val="22"/>
        </w:rPr>
        <w:t xml:space="preserve">Over 36 months </w:t>
      </w:r>
      <w:r w:rsidR="00163DCC" w:rsidRPr="00CF5BBE">
        <w:rPr>
          <w:sz w:val="22"/>
          <w:szCs w:val="22"/>
        </w:rPr>
        <w:t>–</w:t>
      </w:r>
      <w:r w:rsidRPr="00CF5BBE">
        <w:rPr>
          <w:sz w:val="22"/>
          <w:szCs w:val="22"/>
        </w:rPr>
        <w:t xml:space="preserve"> </w:t>
      </w:r>
      <w:r w:rsidR="00FF7494" w:rsidRPr="00CF5BBE">
        <w:rPr>
          <w:sz w:val="22"/>
          <w:szCs w:val="22"/>
        </w:rPr>
        <w:t>1</w:t>
      </w:r>
      <w:r w:rsidR="004D04BB" w:rsidRPr="00CF5BBE">
        <w:rPr>
          <w:sz w:val="22"/>
          <w:szCs w:val="22"/>
        </w:rPr>
        <w:t>4</w:t>
      </w:r>
      <w:r w:rsidRPr="00CF5BBE">
        <w:rPr>
          <w:sz w:val="22"/>
          <w:szCs w:val="22"/>
        </w:rPr>
        <w:t>% of households</w:t>
      </w:r>
    </w:p>
    <w:p w:rsidR="008977C8" w:rsidRPr="008729BC" w:rsidRDefault="008977C8" w:rsidP="008729BC">
      <w:pPr>
        <w:pStyle w:val="ListParagraph"/>
        <w:numPr>
          <w:ilvl w:val="0"/>
          <w:numId w:val="36"/>
        </w:numPr>
        <w:spacing w:before="120" w:after="120"/>
        <w:ind w:left="360"/>
        <w:rPr>
          <w:b/>
          <w:sz w:val="22"/>
          <w:szCs w:val="22"/>
        </w:rPr>
      </w:pPr>
      <w:r w:rsidRPr="008729BC">
        <w:rPr>
          <w:b/>
          <w:sz w:val="22"/>
          <w:szCs w:val="22"/>
        </w:rPr>
        <w:t>New Mexico Works (</w:t>
      </w:r>
      <w:proofErr w:type="spellStart"/>
      <w:r w:rsidRPr="008729BC">
        <w:rPr>
          <w:b/>
          <w:sz w:val="22"/>
          <w:szCs w:val="22"/>
        </w:rPr>
        <w:t>NMW</w:t>
      </w:r>
      <w:proofErr w:type="spellEnd"/>
      <w:r w:rsidRPr="008729BC">
        <w:rPr>
          <w:b/>
          <w:sz w:val="22"/>
          <w:szCs w:val="22"/>
        </w:rPr>
        <w:t>)</w:t>
      </w:r>
    </w:p>
    <w:p w:rsidR="008977C8" w:rsidRPr="008729BC" w:rsidRDefault="008977C8" w:rsidP="00D36623">
      <w:pPr>
        <w:numPr>
          <w:ilvl w:val="0"/>
          <w:numId w:val="18"/>
        </w:numPr>
        <w:rPr>
          <w:sz w:val="22"/>
          <w:szCs w:val="22"/>
        </w:rPr>
      </w:pPr>
      <w:r w:rsidRPr="008729BC">
        <w:rPr>
          <w:sz w:val="22"/>
          <w:szCs w:val="22"/>
        </w:rPr>
        <w:t>New Mexico Works Act established TANF in New Mexico</w:t>
      </w:r>
      <w:r w:rsidR="008729BC">
        <w:rPr>
          <w:sz w:val="22"/>
          <w:szCs w:val="22"/>
        </w:rPr>
        <w:t>.</w:t>
      </w:r>
    </w:p>
    <w:p w:rsidR="008977C8" w:rsidRPr="008729BC" w:rsidRDefault="008977C8" w:rsidP="008977C8">
      <w:pPr>
        <w:numPr>
          <w:ilvl w:val="0"/>
          <w:numId w:val="12"/>
        </w:numPr>
        <w:rPr>
          <w:sz w:val="22"/>
          <w:szCs w:val="22"/>
        </w:rPr>
      </w:pPr>
      <w:r w:rsidRPr="008729BC">
        <w:rPr>
          <w:sz w:val="22"/>
          <w:szCs w:val="22"/>
        </w:rPr>
        <w:t>HSD determines eligibility for TANF cash assistance</w:t>
      </w:r>
      <w:r w:rsidR="008729BC">
        <w:rPr>
          <w:sz w:val="22"/>
          <w:szCs w:val="22"/>
        </w:rPr>
        <w:t>.</w:t>
      </w:r>
    </w:p>
    <w:p w:rsidR="008977C8" w:rsidRDefault="008977C8" w:rsidP="008748C2">
      <w:pPr>
        <w:numPr>
          <w:ilvl w:val="0"/>
          <w:numId w:val="12"/>
        </w:numPr>
        <w:rPr>
          <w:sz w:val="22"/>
          <w:szCs w:val="22"/>
        </w:rPr>
      </w:pPr>
      <w:r w:rsidRPr="008729BC">
        <w:rPr>
          <w:sz w:val="22"/>
          <w:szCs w:val="22"/>
        </w:rPr>
        <w:t xml:space="preserve">HSD contracts </w:t>
      </w:r>
      <w:r w:rsidR="008729BC" w:rsidRPr="008729BC">
        <w:rPr>
          <w:sz w:val="22"/>
          <w:szCs w:val="22"/>
        </w:rPr>
        <w:t>with a</w:t>
      </w:r>
      <w:r w:rsidR="00EB7A5D" w:rsidRPr="008729BC">
        <w:rPr>
          <w:sz w:val="22"/>
          <w:szCs w:val="22"/>
        </w:rPr>
        <w:t xml:space="preserve"> single </w:t>
      </w:r>
      <w:r w:rsidRPr="008729BC">
        <w:rPr>
          <w:sz w:val="22"/>
          <w:szCs w:val="22"/>
        </w:rPr>
        <w:t>vendor</w:t>
      </w:r>
      <w:r w:rsidR="008748C2" w:rsidRPr="008729BC">
        <w:rPr>
          <w:sz w:val="22"/>
          <w:szCs w:val="22"/>
        </w:rPr>
        <w:t xml:space="preserve"> </w:t>
      </w:r>
      <w:r w:rsidRPr="008729BC">
        <w:rPr>
          <w:sz w:val="22"/>
          <w:szCs w:val="22"/>
        </w:rPr>
        <w:t xml:space="preserve">for work program </w:t>
      </w:r>
      <w:r w:rsidR="00EB7A5D" w:rsidRPr="008729BC">
        <w:rPr>
          <w:sz w:val="22"/>
          <w:szCs w:val="22"/>
        </w:rPr>
        <w:t>services</w:t>
      </w:r>
      <w:r w:rsidR="008729BC">
        <w:rPr>
          <w:sz w:val="22"/>
          <w:szCs w:val="22"/>
        </w:rPr>
        <w:t>.</w:t>
      </w:r>
    </w:p>
    <w:p w:rsidR="008729BC" w:rsidRDefault="008729BC" w:rsidP="008729BC">
      <w:pPr>
        <w:ind w:left="720"/>
        <w:rPr>
          <w:sz w:val="22"/>
          <w:szCs w:val="22"/>
        </w:rPr>
      </w:pPr>
    </w:p>
    <w:tbl>
      <w:tblPr>
        <w:tblW w:w="9565" w:type="dxa"/>
        <w:jc w:val="center"/>
        <w:tblInd w:w="-647" w:type="dxa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3299"/>
        <w:gridCol w:w="2372"/>
        <w:gridCol w:w="1948"/>
        <w:gridCol w:w="1946"/>
      </w:tblGrid>
      <w:tr w:rsidR="008729BC" w:rsidTr="0025231E">
        <w:trPr>
          <w:trHeight w:val="303"/>
          <w:tblHeader/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729BC" w:rsidRDefault="004D04BB" w:rsidP="00574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Allocations in FY 14</w:t>
            </w:r>
            <w:r w:rsidR="00872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729BC" w:rsidRPr="00007C93" w:rsidTr="0025231E">
        <w:trPr>
          <w:trHeight w:val="467"/>
          <w:tblHeader/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729BC" w:rsidRPr="00007C93" w:rsidRDefault="008729BC" w:rsidP="00574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Statewide </w:t>
            </w:r>
            <w:r w:rsidRPr="00007C93"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729BC" w:rsidRDefault="004D04BB" w:rsidP="00574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FY14</w:t>
            </w:r>
            <w:proofErr w:type="spellEnd"/>
            <w:r w:rsidR="00872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TANF Funding</w:t>
            </w:r>
          </w:p>
          <w:p w:rsidR="008729BC" w:rsidRPr="00FC656E" w:rsidRDefault="008729BC" w:rsidP="00574BD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729BC" w:rsidRPr="00007C93" w:rsidRDefault="004D04BB" w:rsidP="00574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FY14</w:t>
            </w:r>
            <w:proofErr w:type="spellEnd"/>
            <w:r w:rsidR="00872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SNAP</w:t>
            </w:r>
            <w:r w:rsidR="008729BC" w:rsidRPr="00007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729BC" w:rsidRPr="00007C93">
              <w:rPr>
                <w:rFonts w:ascii="Arial" w:hAnsi="Arial" w:cs="Arial"/>
                <w:b/>
                <w:bCs/>
                <w:sz w:val="20"/>
                <w:szCs w:val="20"/>
              </w:rPr>
              <w:t>E&amp;T</w:t>
            </w:r>
            <w:proofErr w:type="spellEnd"/>
            <w:r w:rsidR="00872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Funding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729BC" w:rsidRPr="00007C93" w:rsidRDefault="008729BC" w:rsidP="00574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  <w:p w:rsidR="008729BC" w:rsidRPr="00007C93" w:rsidRDefault="008729BC" w:rsidP="00574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9BC" w:rsidRPr="00103FE5" w:rsidTr="0025231E">
        <w:trPr>
          <w:trHeight w:val="287"/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C" w:rsidRPr="00A21D8B" w:rsidRDefault="008729BC" w:rsidP="00574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1D8B">
              <w:rPr>
                <w:rFonts w:ascii="Arial" w:hAnsi="Arial" w:cs="Arial"/>
                <w:b/>
                <w:sz w:val="20"/>
                <w:szCs w:val="20"/>
              </w:rPr>
              <w:t>SL Start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BC" w:rsidRDefault="008729BC" w:rsidP="00574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4D04BB">
              <w:rPr>
                <w:rFonts w:ascii="Arial" w:hAnsi="Arial" w:cs="Arial"/>
                <w:b/>
                <w:bCs/>
                <w:sz w:val="20"/>
                <w:szCs w:val="20"/>
              </w:rPr>
              <w:t>12,010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  <w:p w:rsidR="008729BC" w:rsidRPr="00103FE5" w:rsidRDefault="008729BC" w:rsidP="00574BD0">
            <w:pPr>
              <w:pStyle w:val="StyleArial8ptCenter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BC" w:rsidRDefault="004D04BB" w:rsidP="00574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$685,965</w:t>
            </w:r>
          </w:p>
          <w:p w:rsidR="008729BC" w:rsidRPr="00103FE5" w:rsidRDefault="008729BC" w:rsidP="00574BD0">
            <w:pPr>
              <w:pStyle w:val="StyleArial8ptCentere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BC" w:rsidRDefault="004D04BB" w:rsidP="00574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$12,695,965</w:t>
            </w:r>
          </w:p>
          <w:p w:rsidR="008729BC" w:rsidRPr="00103FE5" w:rsidRDefault="008729BC" w:rsidP="00574BD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7D70DC" w:rsidRPr="008729BC" w:rsidRDefault="007D70DC" w:rsidP="007D70DC">
      <w:pPr>
        <w:ind w:left="360"/>
        <w:rPr>
          <w:b/>
          <w:sz w:val="22"/>
          <w:szCs w:val="22"/>
        </w:rPr>
      </w:pPr>
    </w:p>
    <w:p w:rsidR="008977C8" w:rsidRPr="008729BC" w:rsidRDefault="008977C8" w:rsidP="008729BC">
      <w:pPr>
        <w:pStyle w:val="ListParagraph"/>
        <w:numPr>
          <w:ilvl w:val="0"/>
          <w:numId w:val="36"/>
        </w:numPr>
        <w:ind w:left="360"/>
        <w:rPr>
          <w:b/>
          <w:sz w:val="22"/>
          <w:szCs w:val="22"/>
        </w:rPr>
      </w:pPr>
      <w:proofErr w:type="spellStart"/>
      <w:r w:rsidRPr="008729BC">
        <w:rPr>
          <w:b/>
          <w:sz w:val="22"/>
          <w:szCs w:val="22"/>
        </w:rPr>
        <w:t>NMW</w:t>
      </w:r>
      <w:proofErr w:type="spellEnd"/>
      <w:r w:rsidRPr="008729BC">
        <w:rPr>
          <w:b/>
          <w:sz w:val="22"/>
          <w:szCs w:val="22"/>
        </w:rPr>
        <w:t xml:space="preserve"> </w:t>
      </w:r>
      <w:r w:rsidR="00025800" w:rsidRPr="008729BC">
        <w:rPr>
          <w:b/>
          <w:sz w:val="22"/>
          <w:szCs w:val="22"/>
        </w:rPr>
        <w:t>Scope of Work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964"/>
        <w:gridCol w:w="4324"/>
      </w:tblGrid>
      <w:tr w:rsidR="00D36623" w:rsidRPr="008729BC" w:rsidTr="00E51C02">
        <w:trPr>
          <w:trHeight w:val="80"/>
        </w:trPr>
        <w:tc>
          <w:tcPr>
            <w:tcW w:w="4964" w:type="dxa"/>
          </w:tcPr>
          <w:p w:rsidR="008748C2" w:rsidRPr="008729BC" w:rsidRDefault="008729BC" w:rsidP="008556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Screening for </w:t>
            </w:r>
            <w:r w:rsidR="00D36623" w:rsidRPr="008729BC">
              <w:rPr>
                <w:sz w:val="22"/>
                <w:szCs w:val="22"/>
              </w:rPr>
              <w:t>Barrier</w:t>
            </w:r>
            <w:r>
              <w:rPr>
                <w:sz w:val="22"/>
                <w:szCs w:val="22"/>
              </w:rPr>
              <w:t xml:space="preserve">s to Employment </w:t>
            </w:r>
          </w:p>
          <w:p w:rsidR="00D36623" w:rsidRPr="008729BC" w:rsidRDefault="00D36623" w:rsidP="008556EE">
            <w:pPr>
              <w:numPr>
                <w:ilvl w:val="0"/>
                <w:numId w:val="25"/>
              </w:numPr>
              <w:ind w:right="-274"/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 xml:space="preserve">Assessments &amp; Referral </w:t>
            </w:r>
            <w:r w:rsidR="008748C2" w:rsidRPr="008729BC">
              <w:rPr>
                <w:sz w:val="22"/>
                <w:szCs w:val="22"/>
              </w:rPr>
              <w:t xml:space="preserve">to </w:t>
            </w:r>
            <w:r w:rsidR="008729BC">
              <w:rPr>
                <w:sz w:val="22"/>
                <w:szCs w:val="22"/>
              </w:rPr>
              <w:t>C</w:t>
            </w:r>
            <w:r w:rsidR="008748C2" w:rsidRPr="008729BC">
              <w:rPr>
                <w:sz w:val="22"/>
                <w:szCs w:val="22"/>
              </w:rPr>
              <w:t xml:space="preserve">ommunity </w:t>
            </w:r>
            <w:r w:rsidR="008729BC">
              <w:rPr>
                <w:sz w:val="22"/>
                <w:szCs w:val="22"/>
              </w:rPr>
              <w:t>R</w:t>
            </w:r>
            <w:r w:rsidR="008748C2" w:rsidRPr="008729BC">
              <w:rPr>
                <w:sz w:val="22"/>
                <w:szCs w:val="22"/>
              </w:rPr>
              <w:t>esources</w:t>
            </w:r>
          </w:p>
          <w:p w:rsidR="00D36623" w:rsidRPr="008729BC" w:rsidRDefault="00D36623" w:rsidP="008556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>Work Assessments &amp; Employment Planning</w:t>
            </w:r>
          </w:p>
          <w:p w:rsidR="00D36623" w:rsidRPr="008729BC" w:rsidRDefault="00D36623" w:rsidP="008556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>Job Search, Matching &amp; Placement</w:t>
            </w:r>
          </w:p>
          <w:p w:rsidR="00D36623" w:rsidRDefault="00D36623" w:rsidP="008556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 xml:space="preserve">Life skills Development </w:t>
            </w:r>
          </w:p>
          <w:p w:rsidR="008556EE" w:rsidRPr="008729BC" w:rsidRDefault="008556EE" w:rsidP="008556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>Training</w:t>
            </w:r>
          </w:p>
          <w:p w:rsidR="005D7EE4" w:rsidRDefault="008556EE" w:rsidP="008556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>Education</w:t>
            </w:r>
          </w:p>
          <w:p w:rsidR="008556EE" w:rsidRPr="008556EE" w:rsidRDefault="008556EE" w:rsidP="008556EE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>Housing</w:t>
            </w:r>
          </w:p>
        </w:tc>
        <w:tc>
          <w:tcPr>
            <w:tcW w:w="4324" w:type="dxa"/>
          </w:tcPr>
          <w:p w:rsidR="008556EE" w:rsidRPr="008729BC" w:rsidRDefault="008556EE" w:rsidP="008556EE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>Linkage to Work Supports</w:t>
            </w:r>
          </w:p>
          <w:p w:rsidR="008556EE" w:rsidRPr="008729BC" w:rsidRDefault="008556EE" w:rsidP="008556EE">
            <w:pPr>
              <w:numPr>
                <w:ilvl w:val="1"/>
                <w:numId w:val="17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>Child Care Assistance</w:t>
            </w:r>
          </w:p>
          <w:p w:rsidR="008556EE" w:rsidRPr="008729BC" w:rsidRDefault="008556EE" w:rsidP="008556EE">
            <w:pPr>
              <w:numPr>
                <w:ilvl w:val="1"/>
                <w:numId w:val="17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 xml:space="preserve">Transportation </w:t>
            </w:r>
          </w:p>
          <w:p w:rsidR="008556EE" w:rsidRPr="008729BC" w:rsidRDefault="008556EE" w:rsidP="008556EE">
            <w:pPr>
              <w:numPr>
                <w:ilvl w:val="1"/>
                <w:numId w:val="17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>Income supplements such as tax credits</w:t>
            </w:r>
          </w:p>
          <w:p w:rsidR="008556EE" w:rsidRPr="008729BC" w:rsidRDefault="008556EE" w:rsidP="008556EE">
            <w:pPr>
              <w:numPr>
                <w:ilvl w:val="1"/>
                <w:numId w:val="17"/>
              </w:numPr>
              <w:rPr>
                <w:sz w:val="22"/>
                <w:szCs w:val="22"/>
              </w:rPr>
            </w:pPr>
            <w:r w:rsidRPr="008729BC">
              <w:rPr>
                <w:sz w:val="22"/>
                <w:szCs w:val="22"/>
              </w:rPr>
              <w:t>Financial Aid for Students</w:t>
            </w:r>
          </w:p>
          <w:p w:rsidR="007D70DC" w:rsidRPr="008556EE" w:rsidRDefault="008556EE" w:rsidP="008556EE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556EE">
              <w:rPr>
                <w:sz w:val="22"/>
                <w:szCs w:val="22"/>
              </w:rPr>
              <w:t>Monthly Work Participation Requirements:</w:t>
            </w:r>
          </w:p>
        </w:tc>
      </w:tr>
    </w:tbl>
    <w:p w:rsidR="00800B00" w:rsidRPr="00800B00" w:rsidRDefault="00800B00" w:rsidP="005D7EE4">
      <w:pPr>
        <w:rPr>
          <w:b/>
          <w:sz w:val="12"/>
          <w:szCs w:val="12"/>
        </w:rPr>
      </w:pP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725"/>
      </w:tblGrid>
      <w:tr w:rsidR="004E5C4A" w:rsidRPr="00B86DC0" w:rsidTr="005D7EE4">
        <w:tc>
          <w:tcPr>
            <w:tcW w:w="4725" w:type="dxa"/>
            <w:shd w:val="clear" w:color="auto" w:fill="FDE9D9" w:themeFill="accent6" w:themeFillTint="33"/>
          </w:tcPr>
          <w:p w:rsidR="004E5C4A" w:rsidRPr="005D7EE4" w:rsidRDefault="004E5C4A" w:rsidP="00E2614D">
            <w:pPr>
              <w:pStyle w:val="Heading7"/>
              <w:rPr>
                <w:sz w:val="22"/>
                <w:szCs w:val="22"/>
              </w:rPr>
            </w:pPr>
            <w:r w:rsidRPr="005D7EE4">
              <w:rPr>
                <w:sz w:val="22"/>
                <w:szCs w:val="22"/>
              </w:rPr>
              <w:t>One Parent Families</w:t>
            </w:r>
          </w:p>
          <w:p w:rsidR="00CE5DEF" w:rsidRPr="005D7EE4" w:rsidRDefault="00624E05" w:rsidP="00BA481B">
            <w:pPr>
              <w:pStyle w:val="Heading7"/>
              <w:rPr>
                <w:sz w:val="22"/>
                <w:szCs w:val="22"/>
              </w:rPr>
            </w:pPr>
            <w:r w:rsidRPr="005D7EE4">
              <w:rPr>
                <w:sz w:val="22"/>
                <w:szCs w:val="22"/>
              </w:rPr>
              <w:t>Monthly</w:t>
            </w:r>
            <w:r w:rsidR="004E5C4A" w:rsidRPr="005D7EE4"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4725" w:type="dxa"/>
            <w:shd w:val="clear" w:color="auto" w:fill="FDE9D9" w:themeFill="accent6" w:themeFillTint="33"/>
          </w:tcPr>
          <w:p w:rsidR="004E5C4A" w:rsidRPr="005D7EE4" w:rsidRDefault="004E5C4A" w:rsidP="00E2614D">
            <w:pPr>
              <w:pStyle w:val="Heading7"/>
              <w:rPr>
                <w:sz w:val="22"/>
                <w:szCs w:val="22"/>
              </w:rPr>
            </w:pPr>
            <w:r w:rsidRPr="005D7EE4">
              <w:rPr>
                <w:sz w:val="22"/>
                <w:szCs w:val="22"/>
              </w:rPr>
              <w:t>Two Parent Families</w:t>
            </w:r>
          </w:p>
          <w:p w:rsidR="004E5C4A" w:rsidRPr="005D7EE4" w:rsidRDefault="00624E05" w:rsidP="00B86DC0">
            <w:pPr>
              <w:jc w:val="center"/>
              <w:rPr>
                <w:b/>
                <w:sz w:val="22"/>
                <w:szCs w:val="22"/>
              </w:rPr>
            </w:pPr>
            <w:r w:rsidRPr="005D7EE4">
              <w:rPr>
                <w:b/>
                <w:sz w:val="22"/>
                <w:szCs w:val="22"/>
              </w:rPr>
              <w:t>Monthly</w:t>
            </w:r>
            <w:r w:rsidR="004E5C4A" w:rsidRPr="005D7EE4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4E5C4A" w:rsidRPr="00B86DC0" w:rsidTr="005D7EE4">
        <w:tc>
          <w:tcPr>
            <w:tcW w:w="4725" w:type="dxa"/>
            <w:shd w:val="clear" w:color="auto" w:fill="auto"/>
          </w:tcPr>
          <w:p w:rsidR="004E5C4A" w:rsidRPr="005D7EE4" w:rsidRDefault="004E5C4A" w:rsidP="008556EE">
            <w:pPr>
              <w:pStyle w:val="Heading7"/>
              <w:jc w:val="left"/>
              <w:rPr>
                <w:b w:val="0"/>
                <w:sz w:val="22"/>
                <w:szCs w:val="22"/>
              </w:rPr>
            </w:pPr>
            <w:r w:rsidRPr="005D7EE4">
              <w:rPr>
                <w:b w:val="0"/>
                <w:sz w:val="22"/>
                <w:szCs w:val="22"/>
              </w:rPr>
              <w:t>Parent with a Child Age 5 or Younger –</w:t>
            </w:r>
            <w:r w:rsidR="005659CC" w:rsidRPr="005D7EE4">
              <w:rPr>
                <w:b w:val="0"/>
                <w:sz w:val="22"/>
                <w:szCs w:val="22"/>
              </w:rPr>
              <w:t xml:space="preserve"> </w:t>
            </w:r>
            <w:r w:rsidR="003C0B8C" w:rsidRPr="005D7EE4">
              <w:rPr>
                <w:b w:val="0"/>
                <w:sz w:val="22"/>
                <w:szCs w:val="22"/>
              </w:rPr>
              <w:t>86</w:t>
            </w:r>
            <w:r w:rsidRPr="005D7EE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4E5C4A" w:rsidRPr="005D7EE4" w:rsidRDefault="004E5C4A" w:rsidP="0025022D">
            <w:pPr>
              <w:pStyle w:val="Heading7"/>
              <w:ind w:left="117"/>
              <w:jc w:val="left"/>
              <w:rPr>
                <w:b w:val="0"/>
                <w:sz w:val="22"/>
                <w:szCs w:val="22"/>
              </w:rPr>
            </w:pPr>
            <w:r w:rsidRPr="005D7EE4">
              <w:rPr>
                <w:b w:val="0"/>
                <w:sz w:val="22"/>
                <w:szCs w:val="22"/>
              </w:rPr>
              <w:t xml:space="preserve">Parents Receiving Childcare Assistance – </w:t>
            </w:r>
            <w:r w:rsidR="003C0B8C" w:rsidRPr="005D7EE4">
              <w:rPr>
                <w:b w:val="0"/>
                <w:sz w:val="22"/>
                <w:szCs w:val="22"/>
              </w:rPr>
              <w:t>237</w:t>
            </w:r>
          </w:p>
        </w:tc>
      </w:tr>
      <w:tr w:rsidR="004E5C4A" w:rsidRPr="00B86DC0" w:rsidTr="005D7EE4">
        <w:tc>
          <w:tcPr>
            <w:tcW w:w="4725" w:type="dxa"/>
            <w:shd w:val="clear" w:color="auto" w:fill="auto"/>
          </w:tcPr>
          <w:p w:rsidR="004E5C4A" w:rsidRPr="005D7EE4" w:rsidRDefault="004E5C4A" w:rsidP="008556EE">
            <w:pPr>
              <w:pStyle w:val="Heading7"/>
              <w:jc w:val="left"/>
              <w:rPr>
                <w:b w:val="0"/>
                <w:sz w:val="22"/>
                <w:szCs w:val="22"/>
              </w:rPr>
            </w:pPr>
            <w:r w:rsidRPr="005D7EE4">
              <w:rPr>
                <w:b w:val="0"/>
                <w:sz w:val="22"/>
                <w:szCs w:val="22"/>
              </w:rPr>
              <w:t xml:space="preserve">Parent </w:t>
            </w:r>
            <w:r w:rsidR="008556EE">
              <w:rPr>
                <w:b w:val="0"/>
                <w:sz w:val="22"/>
                <w:szCs w:val="22"/>
              </w:rPr>
              <w:t xml:space="preserve">with a Child Age 6 or Older - </w:t>
            </w:r>
            <w:r w:rsidR="003C0B8C" w:rsidRPr="005D7EE4">
              <w:rPr>
                <w:b w:val="0"/>
                <w:sz w:val="22"/>
                <w:szCs w:val="22"/>
              </w:rPr>
              <w:t>129</w:t>
            </w:r>
            <w:r w:rsidRPr="005D7EE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4E5C4A" w:rsidRPr="005D7EE4" w:rsidRDefault="004E5C4A" w:rsidP="0025022D">
            <w:pPr>
              <w:pStyle w:val="Heading7"/>
              <w:ind w:left="117"/>
              <w:jc w:val="left"/>
              <w:rPr>
                <w:b w:val="0"/>
                <w:sz w:val="22"/>
                <w:szCs w:val="22"/>
              </w:rPr>
            </w:pPr>
            <w:r w:rsidRPr="005D7EE4">
              <w:rPr>
                <w:b w:val="0"/>
                <w:sz w:val="22"/>
                <w:szCs w:val="22"/>
              </w:rPr>
              <w:t xml:space="preserve">Parents not Receiving Childcare </w:t>
            </w:r>
            <w:r w:rsidR="0025022D">
              <w:rPr>
                <w:b w:val="0"/>
                <w:sz w:val="22"/>
                <w:szCs w:val="22"/>
              </w:rPr>
              <w:t>Assistance</w:t>
            </w:r>
            <w:r w:rsidR="001570A1" w:rsidRPr="005D7EE4">
              <w:rPr>
                <w:b w:val="0"/>
                <w:sz w:val="22"/>
                <w:szCs w:val="22"/>
              </w:rPr>
              <w:t>–</w:t>
            </w:r>
            <w:r w:rsidRPr="005D7EE4">
              <w:rPr>
                <w:b w:val="0"/>
                <w:sz w:val="22"/>
                <w:szCs w:val="22"/>
              </w:rPr>
              <w:t xml:space="preserve"> </w:t>
            </w:r>
            <w:r w:rsidR="003C0B8C" w:rsidRPr="005D7EE4">
              <w:rPr>
                <w:b w:val="0"/>
                <w:sz w:val="22"/>
                <w:szCs w:val="22"/>
              </w:rPr>
              <w:t>151</w:t>
            </w:r>
          </w:p>
        </w:tc>
      </w:tr>
      <w:tr w:rsidR="005D7EE4" w:rsidRPr="00B86DC0" w:rsidTr="00574BD0">
        <w:trPr>
          <w:trHeight w:val="80"/>
        </w:trPr>
        <w:tc>
          <w:tcPr>
            <w:tcW w:w="9450" w:type="dxa"/>
            <w:gridSpan w:val="2"/>
            <w:shd w:val="clear" w:color="auto" w:fill="auto"/>
          </w:tcPr>
          <w:p w:rsidR="005D7EE4" w:rsidRPr="006206B7" w:rsidRDefault="005D7EE4" w:rsidP="00C22D40">
            <w:pPr>
              <w:pStyle w:val="Heading7"/>
              <w:jc w:val="left"/>
              <w:rPr>
                <w:b w:val="0"/>
                <w:sz w:val="22"/>
                <w:szCs w:val="22"/>
              </w:rPr>
            </w:pPr>
            <w:r w:rsidRPr="006206B7">
              <w:rPr>
                <w:b w:val="0"/>
                <w:sz w:val="22"/>
                <w:szCs w:val="22"/>
              </w:rPr>
              <w:t xml:space="preserve">Note: Teen parents’ activity = school (or other approved activity if already have HS diploma or </w:t>
            </w:r>
            <w:proofErr w:type="spellStart"/>
            <w:r w:rsidRPr="006206B7">
              <w:rPr>
                <w:b w:val="0"/>
                <w:sz w:val="22"/>
                <w:szCs w:val="22"/>
              </w:rPr>
              <w:t>GED</w:t>
            </w:r>
            <w:proofErr w:type="spellEnd"/>
            <w:r w:rsidRPr="006206B7">
              <w:rPr>
                <w:b w:val="0"/>
                <w:sz w:val="22"/>
                <w:szCs w:val="22"/>
              </w:rPr>
              <w:t>)</w:t>
            </w:r>
          </w:p>
        </w:tc>
      </w:tr>
    </w:tbl>
    <w:p w:rsidR="005D7EE4" w:rsidRDefault="005D7EE4" w:rsidP="005D7EE4">
      <w:pPr>
        <w:numPr>
          <w:ilvl w:val="0"/>
          <w:numId w:val="25"/>
        </w:numPr>
        <w:tabs>
          <w:tab w:val="clear" w:pos="360"/>
          <w:tab w:val="num" w:pos="720"/>
        </w:tabs>
        <w:spacing w:before="120"/>
        <w:ind w:left="720" w:hanging="450"/>
        <w:rPr>
          <w:sz w:val="22"/>
          <w:szCs w:val="22"/>
        </w:rPr>
      </w:pPr>
      <w:r>
        <w:rPr>
          <w:sz w:val="22"/>
          <w:szCs w:val="22"/>
        </w:rPr>
        <w:t>Allowable Work Activities:</w:t>
      </w:r>
    </w:p>
    <w:tbl>
      <w:tblPr>
        <w:tblStyle w:val="TableGrid"/>
        <w:tblW w:w="9468" w:type="dxa"/>
        <w:tblInd w:w="360" w:type="dxa"/>
        <w:tblLook w:val="04A0" w:firstRow="1" w:lastRow="0" w:firstColumn="1" w:lastColumn="0" w:noHBand="0" w:noVBand="1"/>
      </w:tblPr>
      <w:tblGrid>
        <w:gridCol w:w="4698"/>
        <w:gridCol w:w="4770"/>
      </w:tblGrid>
      <w:tr w:rsidR="005D7EE4" w:rsidTr="004D02BF">
        <w:tc>
          <w:tcPr>
            <w:tcW w:w="4698" w:type="dxa"/>
            <w:shd w:val="clear" w:color="auto" w:fill="FDE9D9" w:themeFill="accent6" w:themeFillTint="33"/>
          </w:tcPr>
          <w:p w:rsidR="005D7EE4" w:rsidRDefault="005D7EE4" w:rsidP="00574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 Activities</w:t>
            </w:r>
          </w:p>
        </w:tc>
        <w:tc>
          <w:tcPr>
            <w:tcW w:w="4770" w:type="dxa"/>
            <w:shd w:val="clear" w:color="auto" w:fill="FDE9D9" w:themeFill="accent6" w:themeFillTint="33"/>
          </w:tcPr>
          <w:p w:rsidR="005D7EE4" w:rsidRDefault="005D7EE4" w:rsidP="00574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Non-Core Activities</w:t>
            </w:r>
          </w:p>
        </w:tc>
      </w:tr>
      <w:tr w:rsidR="005D7EE4" w:rsidTr="004D02BF">
        <w:tc>
          <w:tcPr>
            <w:tcW w:w="4698" w:type="dxa"/>
          </w:tcPr>
          <w:p w:rsidR="005D7EE4" w:rsidRDefault="005D7EE4" w:rsidP="0057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Employment</w:t>
            </w:r>
          </w:p>
        </w:tc>
        <w:tc>
          <w:tcPr>
            <w:tcW w:w="4770" w:type="dxa"/>
          </w:tcPr>
          <w:p w:rsidR="005D7EE4" w:rsidRDefault="005D7EE4" w:rsidP="0057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Skills for Employment</w:t>
            </w:r>
          </w:p>
        </w:tc>
      </w:tr>
      <w:tr w:rsidR="005D7EE4" w:rsidTr="004D02BF">
        <w:tc>
          <w:tcPr>
            <w:tcW w:w="4698" w:type="dxa"/>
          </w:tcPr>
          <w:p w:rsidR="005D7EE4" w:rsidRDefault="005D7EE4" w:rsidP="0057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Subsidized Employment</w:t>
            </w:r>
          </w:p>
        </w:tc>
        <w:tc>
          <w:tcPr>
            <w:tcW w:w="4770" w:type="dxa"/>
            <w:vMerge w:val="restart"/>
          </w:tcPr>
          <w:p w:rsidR="005D7EE4" w:rsidRDefault="005D7EE4" w:rsidP="0057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 for Employment</w:t>
            </w:r>
          </w:p>
        </w:tc>
      </w:tr>
      <w:tr w:rsidR="005D7EE4" w:rsidTr="004D02BF">
        <w:tc>
          <w:tcPr>
            <w:tcW w:w="4698" w:type="dxa"/>
          </w:tcPr>
          <w:p w:rsidR="005D7EE4" w:rsidRDefault="005D7EE4" w:rsidP="0057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the Job Training</w:t>
            </w:r>
          </w:p>
        </w:tc>
        <w:tc>
          <w:tcPr>
            <w:tcW w:w="4770" w:type="dxa"/>
            <w:vMerge/>
          </w:tcPr>
          <w:p w:rsidR="005D7EE4" w:rsidRDefault="005D7EE4" w:rsidP="00574BD0">
            <w:pPr>
              <w:rPr>
                <w:sz w:val="22"/>
                <w:szCs w:val="22"/>
              </w:rPr>
            </w:pPr>
          </w:p>
        </w:tc>
      </w:tr>
      <w:tr w:rsidR="005D7EE4" w:rsidTr="004D02BF">
        <w:tc>
          <w:tcPr>
            <w:tcW w:w="4698" w:type="dxa"/>
          </w:tcPr>
          <w:p w:rsidR="005D7EE4" w:rsidRDefault="005D7EE4" w:rsidP="0057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Experience</w:t>
            </w:r>
          </w:p>
        </w:tc>
        <w:tc>
          <w:tcPr>
            <w:tcW w:w="4770" w:type="dxa"/>
            <w:vMerge/>
          </w:tcPr>
          <w:p w:rsidR="005D7EE4" w:rsidRDefault="005D7EE4" w:rsidP="00574BD0">
            <w:pPr>
              <w:rPr>
                <w:sz w:val="22"/>
                <w:szCs w:val="22"/>
              </w:rPr>
            </w:pPr>
          </w:p>
        </w:tc>
      </w:tr>
      <w:tr w:rsidR="005D7EE4" w:rsidTr="004D02BF">
        <w:tc>
          <w:tcPr>
            <w:tcW w:w="4698" w:type="dxa"/>
          </w:tcPr>
          <w:p w:rsidR="005D7EE4" w:rsidRDefault="005D7EE4" w:rsidP="0057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Service</w:t>
            </w:r>
          </w:p>
        </w:tc>
        <w:tc>
          <w:tcPr>
            <w:tcW w:w="4770" w:type="dxa"/>
            <w:vMerge/>
          </w:tcPr>
          <w:p w:rsidR="005D7EE4" w:rsidRDefault="005D7EE4" w:rsidP="00574BD0">
            <w:pPr>
              <w:rPr>
                <w:sz w:val="22"/>
                <w:szCs w:val="22"/>
              </w:rPr>
            </w:pPr>
          </w:p>
        </w:tc>
      </w:tr>
      <w:tr w:rsidR="005D7EE4" w:rsidTr="004D02BF">
        <w:tc>
          <w:tcPr>
            <w:tcW w:w="4698" w:type="dxa"/>
          </w:tcPr>
          <w:p w:rsidR="005D7EE4" w:rsidRDefault="005D7EE4" w:rsidP="00574BD0">
            <w:pPr>
              <w:rPr>
                <w:sz w:val="22"/>
                <w:szCs w:val="22"/>
              </w:rPr>
            </w:pPr>
            <w:r w:rsidRPr="00456BE2">
              <w:rPr>
                <w:sz w:val="22"/>
                <w:szCs w:val="22"/>
                <w:u w:val="single"/>
              </w:rPr>
              <w:t>Job Search/Readiness</w:t>
            </w:r>
            <w:r>
              <w:rPr>
                <w:sz w:val="22"/>
                <w:szCs w:val="22"/>
              </w:rPr>
              <w:t xml:space="preserve"> – no more than 4 weeks in a row of job search may count and hours are limited to 240 in a 12 month look back period for families with a child under age 6 (360 hours for all other families)</w:t>
            </w:r>
          </w:p>
        </w:tc>
        <w:tc>
          <w:tcPr>
            <w:tcW w:w="4770" w:type="dxa"/>
            <w:vMerge/>
          </w:tcPr>
          <w:p w:rsidR="005D7EE4" w:rsidRDefault="005D7EE4" w:rsidP="00574BD0">
            <w:pPr>
              <w:rPr>
                <w:sz w:val="22"/>
                <w:szCs w:val="22"/>
              </w:rPr>
            </w:pPr>
          </w:p>
        </w:tc>
      </w:tr>
      <w:tr w:rsidR="005D7EE4" w:rsidTr="004D02BF">
        <w:tc>
          <w:tcPr>
            <w:tcW w:w="4698" w:type="dxa"/>
          </w:tcPr>
          <w:p w:rsidR="005D7EE4" w:rsidRDefault="005D7EE4" w:rsidP="00574BD0">
            <w:pPr>
              <w:rPr>
                <w:sz w:val="22"/>
                <w:szCs w:val="22"/>
              </w:rPr>
            </w:pPr>
            <w:r w:rsidRPr="00456BE2">
              <w:rPr>
                <w:sz w:val="22"/>
                <w:szCs w:val="22"/>
                <w:u w:val="single"/>
              </w:rPr>
              <w:lastRenderedPageBreak/>
              <w:t>Vocational Training/Education</w:t>
            </w:r>
            <w:r>
              <w:rPr>
                <w:sz w:val="22"/>
                <w:szCs w:val="22"/>
              </w:rPr>
              <w:t>– no more than 12 months of vocational training</w:t>
            </w:r>
          </w:p>
        </w:tc>
        <w:tc>
          <w:tcPr>
            <w:tcW w:w="4770" w:type="dxa"/>
            <w:vMerge/>
          </w:tcPr>
          <w:p w:rsidR="005D7EE4" w:rsidRDefault="005D7EE4" w:rsidP="00574BD0">
            <w:pPr>
              <w:rPr>
                <w:sz w:val="22"/>
                <w:szCs w:val="22"/>
              </w:rPr>
            </w:pPr>
          </w:p>
        </w:tc>
      </w:tr>
    </w:tbl>
    <w:p w:rsidR="008556EE" w:rsidRDefault="008556EE" w:rsidP="008556EE">
      <w:pPr>
        <w:pStyle w:val="ListParagraph"/>
        <w:spacing w:before="120" w:after="120"/>
        <w:ind w:left="360"/>
        <w:rPr>
          <w:b/>
          <w:sz w:val="22"/>
          <w:szCs w:val="22"/>
        </w:rPr>
      </w:pPr>
    </w:p>
    <w:p w:rsidR="00F912E8" w:rsidRPr="005D7EE4" w:rsidRDefault="00102700" w:rsidP="005D7EE4">
      <w:pPr>
        <w:pStyle w:val="ListParagraph"/>
        <w:numPr>
          <w:ilvl w:val="0"/>
          <w:numId w:val="36"/>
        </w:numPr>
        <w:spacing w:before="120" w:after="120"/>
        <w:ind w:left="360"/>
        <w:rPr>
          <w:b/>
          <w:sz w:val="22"/>
          <w:szCs w:val="22"/>
        </w:rPr>
      </w:pPr>
      <w:r w:rsidRPr="005D7EE4">
        <w:rPr>
          <w:b/>
          <w:sz w:val="22"/>
          <w:szCs w:val="22"/>
        </w:rPr>
        <w:t>O</w:t>
      </w:r>
      <w:r w:rsidR="00F912E8" w:rsidRPr="005D7EE4">
        <w:rPr>
          <w:b/>
          <w:sz w:val="22"/>
          <w:szCs w:val="22"/>
        </w:rPr>
        <w:t>utcomes</w:t>
      </w:r>
    </w:p>
    <w:tbl>
      <w:tblPr>
        <w:tblW w:w="9480" w:type="dxa"/>
        <w:tblInd w:w="43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990"/>
        <w:gridCol w:w="1800"/>
        <w:gridCol w:w="2790"/>
      </w:tblGrid>
      <w:tr w:rsidR="006206B7" w:rsidRPr="00B86DC0" w:rsidTr="0089039D">
        <w:trPr>
          <w:trHeight w:val="350"/>
        </w:trPr>
        <w:tc>
          <w:tcPr>
            <w:tcW w:w="3900" w:type="dxa"/>
            <w:shd w:val="clear" w:color="auto" w:fill="FDE9D9" w:themeFill="accent6" w:themeFillTint="33"/>
          </w:tcPr>
          <w:p w:rsidR="006206B7" w:rsidRPr="004D02BF" w:rsidRDefault="006206B7" w:rsidP="00B86DC0">
            <w:pPr>
              <w:jc w:val="center"/>
              <w:rPr>
                <w:b/>
                <w:bCs/>
                <w:sz w:val="22"/>
                <w:szCs w:val="22"/>
              </w:rPr>
            </w:pPr>
            <w:r w:rsidRPr="004D02BF">
              <w:rPr>
                <w:b/>
                <w:bCs/>
                <w:sz w:val="22"/>
                <w:szCs w:val="22"/>
              </w:rPr>
              <w:t>Measures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:rsidR="006206B7" w:rsidRPr="004D02BF" w:rsidRDefault="006206B7" w:rsidP="00800B00">
            <w:pPr>
              <w:rPr>
                <w:b/>
                <w:bCs/>
                <w:sz w:val="22"/>
                <w:szCs w:val="22"/>
              </w:rPr>
            </w:pPr>
            <w:r w:rsidRPr="004D02BF">
              <w:rPr>
                <w:b/>
                <w:bCs/>
                <w:sz w:val="22"/>
                <w:szCs w:val="22"/>
              </w:rPr>
              <w:t>Goal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6206B7" w:rsidRPr="004D02BF" w:rsidRDefault="006206B7" w:rsidP="006206B7">
            <w:pPr>
              <w:jc w:val="center"/>
              <w:rPr>
                <w:b/>
                <w:bCs/>
                <w:sz w:val="22"/>
                <w:szCs w:val="22"/>
              </w:rPr>
            </w:pPr>
            <w:r w:rsidRPr="006206B7">
              <w:rPr>
                <w:b/>
                <w:bCs/>
                <w:sz w:val="22"/>
                <w:szCs w:val="22"/>
              </w:rPr>
              <w:t xml:space="preserve">Performance </w:t>
            </w:r>
            <w:r>
              <w:rPr>
                <w:b/>
                <w:bCs/>
                <w:sz w:val="22"/>
                <w:szCs w:val="22"/>
              </w:rPr>
              <w:t xml:space="preserve">for </w:t>
            </w:r>
            <w:proofErr w:type="spellStart"/>
            <w:r>
              <w:rPr>
                <w:b/>
                <w:bCs/>
                <w:sz w:val="22"/>
                <w:szCs w:val="22"/>
              </w:rPr>
              <w:t>FFY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12</w:t>
            </w:r>
          </w:p>
        </w:tc>
        <w:tc>
          <w:tcPr>
            <w:tcW w:w="2790" w:type="dxa"/>
            <w:shd w:val="clear" w:color="auto" w:fill="FDE9D9" w:themeFill="accent6" w:themeFillTint="33"/>
          </w:tcPr>
          <w:p w:rsidR="006206B7" w:rsidRDefault="006206B7" w:rsidP="006E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4D02BF">
              <w:rPr>
                <w:b/>
                <w:bCs/>
                <w:sz w:val="22"/>
                <w:szCs w:val="22"/>
              </w:rPr>
              <w:t xml:space="preserve">Performance </w:t>
            </w:r>
            <w:r>
              <w:rPr>
                <w:b/>
                <w:bCs/>
                <w:sz w:val="22"/>
                <w:szCs w:val="22"/>
              </w:rPr>
              <w:t xml:space="preserve">for </w:t>
            </w:r>
            <w:proofErr w:type="spellStart"/>
            <w:r>
              <w:rPr>
                <w:b/>
                <w:bCs/>
                <w:sz w:val="22"/>
                <w:szCs w:val="22"/>
              </w:rPr>
              <w:t>FFY13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206B7" w:rsidRPr="004D02BF" w:rsidRDefault="006206B7" w:rsidP="008E65D4">
            <w:pPr>
              <w:jc w:val="center"/>
              <w:rPr>
                <w:b/>
                <w:bCs/>
                <w:sz w:val="22"/>
                <w:szCs w:val="22"/>
              </w:rPr>
            </w:pPr>
            <w:r w:rsidRPr="006206B7">
              <w:rPr>
                <w:bCs/>
                <w:sz w:val="22"/>
                <w:szCs w:val="22"/>
              </w:rPr>
              <w:t xml:space="preserve">(as of   </w:t>
            </w:r>
            <w:r w:rsidR="008E65D4">
              <w:rPr>
                <w:bCs/>
                <w:sz w:val="22"/>
                <w:szCs w:val="22"/>
              </w:rPr>
              <w:t>July 2013</w:t>
            </w:r>
            <w:r w:rsidRPr="006206B7">
              <w:rPr>
                <w:bCs/>
                <w:sz w:val="22"/>
                <w:szCs w:val="22"/>
              </w:rPr>
              <w:t>)</w:t>
            </w:r>
          </w:p>
        </w:tc>
      </w:tr>
      <w:tr w:rsidR="006206B7" w:rsidRPr="00B86DC0" w:rsidTr="0089039D">
        <w:trPr>
          <w:trHeight w:val="72"/>
        </w:trPr>
        <w:tc>
          <w:tcPr>
            <w:tcW w:w="3900" w:type="dxa"/>
            <w:shd w:val="clear" w:color="auto" w:fill="auto"/>
          </w:tcPr>
          <w:p w:rsidR="006206B7" w:rsidRPr="004D02BF" w:rsidRDefault="006206B7" w:rsidP="00B86DC0">
            <w:pPr>
              <w:spacing w:before="60" w:after="60"/>
              <w:rPr>
                <w:bCs/>
                <w:sz w:val="22"/>
                <w:szCs w:val="22"/>
              </w:rPr>
            </w:pPr>
            <w:r w:rsidRPr="004D02BF">
              <w:rPr>
                <w:bCs/>
                <w:sz w:val="22"/>
                <w:szCs w:val="22"/>
              </w:rPr>
              <w:t>% Meeting Federal All-Families</w:t>
            </w:r>
            <w:r w:rsidRPr="004D02BF">
              <w:rPr>
                <w:sz w:val="22"/>
                <w:szCs w:val="22"/>
              </w:rPr>
              <w:t xml:space="preserve"> (</w:t>
            </w:r>
            <w:proofErr w:type="spellStart"/>
            <w:r w:rsidRPr="004D02BF">
              <w:rPr>
                <w:sz w:val="22"/>
                <w:szCs w:val="22"/>
              </w:rPr>
              <w:t>HB2</w:t>
            </w:r>
            <w:proofErr w:type="spellEnd"/>
            <w:r w:rsidRPr="004D02BF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6206B7" w:rsidRPr="004D02BF" w:rsidRDefault="006206B7" w:rsidP="00B86DC0">
            <w:pPr>
              <w:spacing w:before="60" w:after="60"/>
              <w:rPr>
                <w:bCs/>
                <w:sz w:val="22"/>
                <w:szCs w:val="22"/>
              </w:rPr>
            </w:pPr>
            <w:r w:rsidRPr="004D02BF">
              <w:rPr>
                <w:bCs/>
                <w:sz w:val="22"/>
                <w:szCs w:val="22"/>
              </w:rPr>
              <w:t>50 %</w:t>
            </w:r>
          </w:p>
        </w:tc>
        <w:tc>
          <w:tcPr>
            <w:tcW w:w="1800" w:type="dxa"/>
          </w:tcPr>
          <w:p w:rsidR="006206B7" w:rsidRPr="004D02BF" w:rsidRDefault="0089039D" w:rsidP="00853E47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46.2%</w:t>
            </w:r>
          </w:p>
        </w:tc>
        <w:tc>
          <w:tcPr>
            <w:tcW w:w="2790" w:type="dxa"/>
            <w:shd w:val="clear" w:color="auto" w:fill="auto"/>
          </w:tcPr>
          <w:p w:rsidR="006206B7" w:rsidRPr="004D02BF" w:rsidRDefault="008E65D4" w:rsidP="00853E47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52.2</w:t>
            </w:r>
            <w:r w:rsidR="006206B7" w:rsidRPr="004D02BF">
              <w:rPr>
                <w:bCs/>
                <w:sz w:val="22"/>
                <w:szCs w:val="22"/>
              </w:rPr>
              <w:t>%</w:t>
            </w:r>
          </w:p>
        </w:tc>
      </w:tr>
      <w:tr w:rsidR="006206B7" w:rsidRPr="00B86DC0" w:rsidTr="0089039D">
        <w:trPr>
          <w:trHeight w:val="72"/>
        </w:trPr>
        <w:tc>
          <w:tcPr>
            <w:tcW w:w="3900" w:type="dxa"/>
            <w:shd w:val="clear" w:color="auto" w:fill="auto"/>
          </w:tcPr>
          <w:p w:rsidR="006206B7" w:rsidRPr="004D02BF" w:rsidRDefault="006206B7" w:rsidP="00B86DC0">
            <w:pPr>
              <w:spacing w:before="60" w:after="60"/>
              <w:rPr>
                <w:bCs/>
                <w:sz w:val="22"/>
                <w:szCs w:val="22"/>
              </w:rPr>
            </w:pPr>
            <w:r w:rsidRPr="004D02BF">
              <w:rPr>
                <w:bCs/>
                <w:sz w:val="22"/>
                <w:szCs w:val="22"/>
              </w:rPr>
              <w:t xml:space="preserve">% Meeting Federal 2-Parent </w:t>
            </w:r>
            <w:r w:rsidRPr="004D02BF">
              <w:rPr>
                <w:sz w:val="22"/>
                <w:szCs w:val="22"/>
              </w:rPr>
              <w:t>(</w:t>
            </w:r>
            <w:proofErr w:type="spellStart"/>
            <w:r w:rsidRPr="004D02BF">
              <w:rPr>
                <w:sz w:val="22"/>
                <w:szCs w:val="22"/>
              </w:rPr>
              <w:t>HB2</w:t>
            </w:r>
            <w:proofErr w:type="spellEnd"/>
            <w:r w:rsidRPr="004D02BF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6206B7" w:rsidRPr="004D02BF" w:rsidRDefault="006206B7" w:rsidP="00B86DC0">
            <w:pPr>
              <w:spacing w:before="60" w:after="60"/>
              <w:rPr>
                <w:bCs/>
                <w:sz w:val="22"/>
                <w:szCs w:val="22"/>
              </w:rPr>
            </w:pPr>
            <w:r w:rsidRPr="004D02BF">
              <w:rPr>
                <w:bCs/>
                <w:sz w:val="22"/>
                <w:szCs w:val="22"/>
              </w:rPr>
              <w:t>90 %</w:t>
            </w:r>
          </w:p>
        </w:tc>
        <w:tc>
          <w:tcPr>
            <w:tcW w:w="1800" w:type="dxa"/>
          </w:tcPr>
          <w:p w:rsidR="006206B7" w:rsidRPr="004D02BF" w:rsidRDefault="0089039D" w:rsidP="00535EE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53.1%</w:t>
            </w:r>
          </w:p>
        </w:tc>
        <w:tc>
          <w:tcPr>
            <w:tcW w:w="2790" w:type="dxa"/>
            <w:shd w:val="clear" w:color="auto" w:fill="auto"/>
          </w:tcPr>
          <w:p w:rsidR="006206B7" w:rsidRPr="004D02BF" w:rsidRDefault="008E65D4" w:rsidP="00535EE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58.6</w:t>
            </w:r>
            <w:r w:rsidR="006206B7" w:rsidRPr="004D02BF">
              <w:rPr>
                <w:bCs/>
                <w:sz w:val="22"/>
                <w:szCs w:val="22"/>
              </w:rPr>
              <w:t>%</w:t>
            </w:r>
          </w:p>
        </w:tc>
      </w:tr>
    </w:tbl>
    <w:p w:rsidR="005659CC" w:rsidRDefault="005659CC" w:rsidP="005C36BE">
      <w:pPr>
        <w:pStyle w:val="NormalWeb"/>
        <w:spacing w:before="0" w:beforeAutospacing="0" w:after="0" w:afterAutospacing="0"/>
        <w:ind w:hanging="360"/>
        <w:rPr>
          <w:b/>
        </w:rPr>
      </w:pPr>
    </w:p>
    <w:p w:rsidR="004D04BB" w:rsidRDefault="004D04BB" w:rsidP="004D04BB">
      <w:pPr>
        <w:pStyle w:val="ListParagraph"/>
        <w:numPr>
          <w:ilvl w:val="0"/>
          <w:numId w:val="36"/>
        </w:numPr>
        <w:spacing w:before="120" w:after="120"/>
        <w:ind w:left="360"/>
        <w:rPr>
          <w:b/>
        </w:rPr>
      </w:pPr>
      <w:r>
        <w:rPr>
          <w:b/>
        </w:rPr>
        <w:t>Job Starts</w:t>
      </w:r>
    </w:p>
    <w:p w:rsidR="00535752" w:rsidRDefault="00EE4A91" w:rsidP="00535752">
      <w:pPr>
        <w:pStyle w:val="NormalWeb"/>
        <w:spacing w:before="0" w:beforeAutospacing="0" w:after="0" w:afterAutospacing="0"/>
        <w:ind w:hanging="360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864100" cy="28638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F81" w:rsidRDefault="00636F81" w:rsidP="00535752">
      <w:pPr>
        <w:pStyle w:val="NormalWeb"/>
        <w:spacing w:before="0" w:beforeAutospacing="0" w:after="0" w:afterAutospacing="0"/>
        <w:ind w:hanging="360"/>
        <w:jc w:val="center"/>
        <w:rPr>
          <w:b/>
          <w:noProof/>
        </w:rPr>
      </w:pPr>
    </w:p>
    <w:p w:rsidR="00636F81" w:rsidRDefault="00636F81" w:rsidP="00535752">
      <w:pPr>
        <w:pStyle w:val="NormalWeb"/>
        <w:spacing w:before="0" w:beforeAutospacing="0" w:after="0" w:afterAutospacing="0"/>
        <w:ind w:hanging="360"/>
        <w:jc w:val="center"/>
        <w:rPr>
          <w:b/>
          <w:noProof/>
        </w:rPr>
      </w:pPr>
    </w:p>
    <w:p w:rsidR="0072343A" w:rsidRDefault="0072343A" w:rsidP="00535752">
      <w:pPr>
        <w:pStyle w:val="NormalWeb"/>
        <w:spacing w:before="0" w:beforeAutospacing="0" w:after="0" w:afterAutospacing="0"/>
        <w:ind w:hanging="360"/>
        <w:jc w:val="center"/>
        <w:rPr>
          <w:b/>
          <w:noProof/>
        </w:rPr>
      </w:pPr>
    </w:p>
    <w:p w:rsidR="0072343A" w:rsidRDefault="0072343A" w:rsidP="00535752">
      <w:pPr>
        <w:pStyle w:val="NormalWeb"/>
        <w:spacing w:before="0" w:beforeAutospacing="0" w:after="0" w:afterAutospacing="0"/>
        <w:ind w:hanging="360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047615" cy="2743200"/>
            <wp:effectExtent l="0" t="0" r="1968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6F81" w:rsidRDefault="00636F81" w:rsidP="00535752">
      <w:pPr>
        <w:pStyle w:val="NormalWeb"/>
        <w:spacing w:before="0" w:beforeAutospacing="0" w:after="0" w:afterAutospacing="0"/>
        <w:ind w:hanging="360"/>
        <w:jc w:val="center"/>
        <w:rPr>
          <w:b/>
          <w:noProof/>
        </w:rPr>
      </w:pPr>
    </w:p>
    <w:p w:rsidR="00087CBA" w:rsidRPr="00087CBA" w:rsidRDefault="00087CBA" w:rsidP="00087CBA">
      <w:pPr>
        <w:pStyle w:val="NormalWeb"/>
        <w:numPr>
          <w:ilvl w:val="0"/>
          <w:numId w:val="36"/>
        </w:numPr>
        <w:spacing w:before="0" w:beforeAutospacing="0" w:after="0" w:afterAutospacing="0"/>
        <w:ind w:left="360"/>
        <w:rPr>
          <w:b/>
          <w:noProof/>
        </w:rPr>
      </w:pPr>
      <w:r w:rsidRPr="00087CBA">
        <w:rPr>
          <w:b/>
          <w:noProof/>
        </w:rPr>
        <w:lastRenderedPageBreak/>
        <w:t>NM Works Activity Placements</w:t>
      </w:r>
    </w:p>
    <w:p w:rsidR="00535752" w:rsidRDefault="00535752" w:rsidP="005C36BE">
      <w:pPr>
        <w:pStyle w:val="NormalWeb"/>
        <w:spacing w:before="0" w:beforeAutospacing="0" w:after="0" w:afterAutospacing="0"/>
        <w:ind w:hanging="360"/>
        <w:rPr>
          <w:b/>
        </w:rPr>
      </w:pPr>
    </w:p>
    <w:p w:rsidR="00535752" w:rsidRDefault="004D04BB" w:rsidP="00087CBA">
      <w:pPr>
        <w:pStyle w:val="NormalWeb"/>
        <w:spacing w:before="0" w:beforeAutospacing="0" w:after="0" w:afterAutospacing="0"/>
        <w:ind w:hanging="360"/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0" cy="3309937"/>
            <wp:effectExtent l="0" t="0" r="0" b="50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04BB" w:rsidRDefault="004D04BB" w:rsidP="00087CBA">
      <w:pPr>
        <w:pStyle w:val="NormalWeb"/>
        <w:spacing w:before="0" w:beforeAutospacing="0" w:after="0" w:afterAutospacing="0"/>
        <w:ind w:hanging="360"/>
        <w:jc w:val="center"/>
        <w:rPr>
          <w:b/>
        </w:rPr>
      </w:pPr>
    </w:p>
    <w:p w:rsidR="00636F81" w:rsidRDefault="004D04BB" w:rsidP="005C36BE">
      <w:pPr>
        <w:pStyle w:val="NormalWeb"/>
        <w:spacing w:before="0" w:beforeAutospacing="0" w:after="0" w:afterAutospacing="0"/>
        <w:ind w:hanging="360"/>
        <w:rPr>
          <w:b/>
        </w:rPr>
      </w:pPr>
      <w:r>
        <w:rPr>
          <w:b/>
        </w:rPr>
        <w:t xml:space="preserve">    </w:t>
      </w:r>
    </w:p>
    <w:p w:rsidR="00F04726" w:rsidRPr="00CF5BBE" w:rsidRDefault="00F04726" w:rsidP="00CF5BBE">
      <w:pPr>
        <w:pStyle w:val="NormalWeb"/>
        <w:numPr>
          <w:ilvl w:val="0"/>
          <w:numId w:val="36"/>
        </w:numPr>
        <w:spacing w:before="0" w:beforeAutospacing="0" w:after="0" w:afterAutospacing="0"/>
        <w:ind w:left="360"/>
        <w:rPr>
          <w:b/>
          <w:sz w:val="22"/>
          <w:szCs w:val="22"/>
        </w:rPr>
      </w:pPr>
      <w:r w:rsidRPr="00CF5BBE">
        <w:rPr>
          <w:b/>
          <w:sz w:val="22"/>
          <w:szCs w:val="22"/>
        </w:rPr>
        <w:t>C</w:t>
      </w:r>
      <w:r w:rsidR="00CB44F5" w:rsidRPr="00CF5BBE">
        <w:rPr>
          <w:b/>
          <w:sz w:val="22"/>
          <w:szCs w:val="22"/>
        </w:rPr>
        <w:t>ontact</w:t>
      </w:r>
      <w:r w:rsidRPr="00CF5BBE">
        <w:rPr>
          <w:b/>
          <w:sz w:val="22"/>
          <w:szCs w:val="22"/>
        </w:rPr>
        <w:t xml:space="preserve"> Information</w:t>
      </w:r>
      <w:r w:rsidR="00CB44F5" w:rsidRPr="00CF5BBE">
        <w:rPr>
          <w:b/>
          <w:sz w:val="22"/>
          <w:szCs w:val="22"/>
        </w:rPr>
        <w:t>:</w:t>
      </w:r>
    </w:p>
    <w:p w:rsidR="00CF5BBE" w:rsidRPr="00CF5BBE" w:rsidRDefault="00CB44F5" w:rsidP="00F04726">
      <w:pPr>
        <w:pStyle w:val="NormalWeb"/>
        <w:spacing w:before="0" w:beforeAutospacing="0" w:after="0" w:afterAutospacing="0"/>
        <w:ind w:hanging="360"/>
        <w:rPr>
          <w:sz w:val="22"/>
          <w:szCs w:val="22"/>
        </w:rPr>
      </w:pPr>
      <w:r w:rsidRPr="00CF5BBE">
        <w:rPr>
          <w:sz w:val="22"/>
          <w:szCs w:val="22"/>
        </w:rPr>
        <w:tab/>
      </w:r>
    </w:p>
    <w:p w:rsidR="00BA481B" w:rsidRPr="00CF5BBE" w:rsidRDefault="00BA481B" w:rsidP="00CF5BBE">
      <w:pPr>
        <w:pStyle w:val="NormalWeb"/>
        <w:spacing w:before="0" w:beforeAutospacing="0" w:after="0" w:afterAutospacing="0"/>
        <w:rPr>
          <w:color w:val="000080"/>
          <w:sz w:val="22"/>
          <w:szCs w:val="22"/>
        </w:rPr>
      </w:pPr>
      <w:r w:rsidRPr="00CF5BBE">
        <w:rPr>
          <w:rStyle w:val="Strong"/>
          <w:color w:val="000000"/>
          <w:sz w:val="22"/>
          <w:szCs w:val="22"/>
        </w:rPr>
        <w:t>Nicole A. Taylor, M.Ed.</w:t>
      </w:r>
      <w:r w:rsidR="00F04726" w:rsidRPr="00CF5BBE">
        <w:rPr>
          <w:rStyle w:val="Strong"/>
          <w:color w:val="000000"/>
          <w:sz w:val="22"/>
          <w:szCs w:val="22"/>
        </w:rPr>
        <w:t xml:space="preserve">, </w:t>
      </w:r>
      <w:r w:rsidR="00F82074" w:rsidRPr="00CF5BBE">
        <w:rPr>
          <w:rStyle w:val="Strong"/>
          <w:color w:val="000000"/>
          <w:sz w:val="22"/>
          <w:szCs w:val="22"/>
        </w:rPr>
        <w:t>B</w:t>
      </w:r>
      <w:r w:rsidRPr="00CF5BBE">
        <w:rPr>
          <w:rStyle w:val="Strong"/>
          <w:color w:val="000000"/>
          <w:sz w:val="22"/>
          <w:szCs w:val="22"/>
        </w:rPr>
        <w:t>ureau Chief</w:t>
      </w:r>
    </w:p>
    <w:p w:rsidR="00BA481B" w:rsidRPr="00CF5BBE" w:rsidRDefault="00BA481B" w:rsidP="00F0472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F5BBE">
        <w:rPr>
          <w:color w:val="000000"/>
          <w:sz w:val="22"/>
          <w:szCs w:val="22"/>
        </w:rPr>
        <w:t>Work and Family Support Bureau</w:t>
      </w:r>
    </w:p>
    <w:p w:rsidR="00BA481B" w:rsidRPr="00CF5BBE" w:rsidRDefault="00BA481B" w:rsidP="00F0472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F5BBE">
        <w:rPr>
          <w:color w:val="000000"/>
          <w:sz w:val="22"/>
          <w:szCs w:val="22"/>
        </w:rPr>
        <w:t>Human Services Department, Income Support Division</w:t>
      </w:r>
    </w:p>
    <w:p w:rsidR="00BA481B" w:rsidRPr="00CF5BBE" w:rsidRDefault="00BA481B" w:rsidP="00F0472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F5BBE">
        <w:rPr>
          <w:color w:val="000000"/>
          <w:sz w:val="22"/>
          <w:szCs w:val="22"/>
        </w:rPr>
        <w:t>Phone (505) 827- 7287</w:t>
      </w:r>
      <w:r w:rsidR="00DD29B3" w:rsidRPr="00CF5BBE">
        <w:rPr>
          <w:color w:val="000000"/>
          <w:sz w:val="22"/>
          <w:szCs w:val="22"/>
        </w:rPr>
        <w:t xml:space="preserve">; </w:t>
      </w:r>
      <w:r w:rsidRPr="00CF5BBE">
        <w:rPr>
          <w:color w:val="000000"/>
          <w:sz w:val="22"/>
          <w:szCs w:val="22"/>
        </w:rPr>
        <w:t>Cell (505) 231-9201</w:t>
      </w:r>
    </w:p>
    <w:p w:rsidR="00BA481B" w:rsidRPr="00CF5BBE" w:rsidRDefault="00BA481B" w:rsidP="00F0472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F5BBE">
        <w:rPr>
          <w:color w:val="000000"/>
          <w:sz w:val="22"/>
          <w:szCs w:val="22"/>
        </w:rPr>
        <w:t>Fax (505) 827 -7259</w:t>
      </w:r>
    </w:p>
    <w:p w:rsidR="00CB44F5" w:rsidRPr="00CF5BBE" w:rsidRDefault="00BA481B" w:rsidP="00F0472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F5BBE">
        <w:rPr>
          <w:color w:val="000000"/>
          <w:sz w:val="22"/>
          <w:szCs w:val="22"/>
        </w:rPr>
        <w:t xml:space="preserve">Email: </w:t>
      </w:r>
      <w:hyperlink r:id="rId14" w:tooltip="blocked::mailto:nicole.taylor1@state.nm.us" w:history="1">
        <w:r w:rsidRPr="00CF5BBE">
          <w:rPr>
            <w:rStyle w:val="Hyperlink"/>
            <w:sz w:val="22"/>
            <w:szCs w:val="22"/>
          </w:rPr>
          <w:t>nicole.taylor1@state.nm.us</w:t>
        </w:r>
      </w:hyperlink>
    </w:p>
    <w:sectPr w:rsidR="00CB44F5" w:rsidRPr="00CF5BBE" w:rsidSect="004C61B1">
      <w:footerReference w:type="default" r:id="rId15"/>
      <w:footerReference w:type="first" r:id="rId16"/>
      <w:pgSz w:w="12240" w:h="15840" w:code="1"/>
      <w:pgMar w:top="1152" w:right="864" w:bottom="108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0E" w:rsidRDefault="00DC050E">
      <w:r>
        <w:separator/>
      </w:r>
    </w:p>
  </w:endnote>
  <w:endnote w:type="continuationSeparator" w:id="0">
    <w:p w:rsidR="00DC050E" w:rsidRDefault="00DC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985248"/>
      <w:docPartObj>
        <w:docPartGallery w:val="Page Numbers (Bottom of Page)"/>
        <w:docPartUnique/>
      </w:docPartObj>
    </w:sdtPr>
    <w:sdtEndPr/>
    <w:sdtContent>
      <w:sdt>
        <w:sdtPr>
          <w:id w:val="-2061397010"/>
          <w:docPartObj>
            <w:docPartGallery w:val="Page Numbers (Top of Page)"/>
            <w:docPartUnique/>
          </w:docPartObj>
        </w:sdtPr>
        <w:sdtEndPr/>
        <w:sdtContent>
          <w:p w:rsidR="0025022D" w:rsidRPr="00277744" w:rsidRDefault="00991AC5" w:rsidP="00277744">
            <w:pPr>
              <w:pStyle w:val="Footer"/>
              <w:tabs>
                <w:tab w:val="clear" w:pos="8640"/>
                <w:tab w:val="right" w:pos="10170"/>
              </w:tabs>
            </w:pPr>
            <w:r>
              <w:t>TANF/</w:t>
            </w:r>
            <w:proofErr w:type="spellStart"/>
            <w:r>
              <w:t>NMW</w:t>
            </w:r>
            <w:proofErr w:type="spellEnd"/>
            <w:r>
              <w:t xml:space="preserve"> Fact Sheet updated 1</w:t>
            </w:r>
            <w:r w:rsidR="0025022D">
              <w:t>.02.1</w:t>
            </w:r>
            <w:r>
              <w:t>4</w:t>
            </w:r>
            <w:r w:rsidR="0025022D">
              <w:tab/>
            </w:r>
            <w:r w:rsidR="0025022D">
              <w:tab/>
              <w:t>Pag</w:t>
            </w:r>
            <w:r w:rsidR="0025022D" w:rsidRPr="0025022D">
              <w:t xml:space="preserve">e </w:t>
            </w:r>
            <w:r w:rsidR="00EA365F" w:rsidRPr="0025022D">
              <w:rPr>
                <w:bCs/>
              </w:rPr>
              <w:fldChar w:fldCharType="begin"/>
            </w:r>
            <w:r w:rsidR="0025022D" w:rsidRPr="0025022D">
              <w:rPr>
                <w:bCs/>
              </w:rPr>
              <w:instrText xml:space="preserve"> PAGE </w:instrText>
            </w:r>
            <w:r w:rsidR="00EA365F" w:rsidRPr="0025022D">
              <w:rPr>
                <w:bCs/>
              </w:rPr>
              <w:fldChar w:fldCharType="separate"/>
            </w:r>
            <w:r w:rsidR="00E807D4">
              <w:rPr>
                <w:bCs/>
                <w:noProof/>
              </w:rPr>
              <w:t>6</w:t>
            </w:r>
            <w:r w:rsidR="00EA365F" w:rsidRPr="0025022D">
              <w:rPr>
                <w:bCs/>
              </w:rPr>
              <w:fldChar w:fldCharType="end"/>
            </w:r>
            <w:r w:rsidR="0025022D" w:rsidRPr="0025022D">
              <w:t xml:space="preserve"> of </w:t>
            </w:r>
            <w:r w:rsidR="00EA365F" w:rsidRPr="0025022D">
              <w:rPr>
                <w:bCs/>
              </w:rPr>
              <w:fldChar w:fldCharType="begin"/>
            </w:r>
            <w:r w:rsidR="0025022D" w:rsidRPr="0025022D">
              <w:rPr>
                <w:bCs/>
              </w:rPr>
              <w:instrText xml:space="preserve"> NUMPAGES  </w:instrText>
            </w:r>
            <w:r w:rsidR="00EA365F" w:rsidRPr="0025022D">
              <w:rPr>
                <w:bCs/>
              </w:rPr>
              <w:fldChar w:fldCharType="separate"/>
            </w:r>
            <w:r w:rsidR="00E807D4">
              <w:rPr>
                <w:bCs/>
                <w:noProof/>
              </w:rPr>
              <w:t>6</w:t>
            </w:r>
            <w:r w:rsidR="00EA365F" w:rsidRPr="0025022D">
              <w:rPr>
                <w:bCs/>
              </w:rPr>
              <w:fldChar w:fldCharType="end"/>
            </w:r>
          </w:p>
        </w:sdtContent>
      </w:sdt>
    </w:sdtContent>
  </w:sdt>
  <w:p w:rsidR="0025022D" w:rsidRDefault="002502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1653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022D" w:rsidRPr="0025022D" w:rsidRDefault="0025022D" w:rsidP="00277744">
            <w:pPr>
              <w:pStyle w:val="Footer"/>
              <w:tabs>
                <w:tab w:val="clear" w:pos="8640"/>
                <w:tab w:val="right" w:pos="10170"/>
              </w:tabs>
            </w:pPr>
            <w:r w:rsidRPr="0025022D">
              <w:t>TANF/</w:t>
            </w:r>
            <w:proofErr w:type="spellStart"/>
            <w:r w:rsidRPr="0025022D">
              <w:t>NMW</w:t>
            </w:r>
            <w:proofErr w:type="spellEnd"/>
            <w:r w:rsidRPr="0025022D">
              <w:t xml:space="preserve"> Fact Sheet updated 11.02.13</w:t>
            </w:r>
            <w:r w:rsidRPr="0025022D">
              <w:tab/>
            </w:r>
            <w:r w:rsidRPr="0025022D">
              <w:tab/>
              <w:t xml:space="preserve">Page </w:t>
            </w:r>
            <w:r w:rsidR="00EA365F" w:rsidRPr="0025022D">
              <w:rPr>
                <w:bCs/>
              </w:rPr>
              <w:fldChar w:fldCharType="begin"/>
            </w:r>
            <w:r w:rsidRPr="0025022D">
              <w:rPr>
                <w:bCs/>
              </w:rPr>
              <w:instrText xml:space="preserve"> PAGE </w:instrText>
            </w:r>
            <w:r w:rsidR="00EA365F" w:rsidRPr="0025022D">
              <w:rPr>
                <w:bCs/>
              </w:rPr>
              <w:fldChar w:fldCharType="separate"/>
            </w:r>
            <w:r w:rsidR="00E807D4">
              <w:rPr>
                <w:bCs/>
                <w:noProof/>
              </w:rPr>
              <w:t>1</w:t>
            </w:r>
            <w:r w:rsidR="00EA365F" w:rsidRPr="0025022D">
              <w:rPr>
                <w:bCs/>
              </w:rPr>
              <w:fldChar w:fldCharType="end"/>
            </w:r>
            <w:r w:rsidRPr="0025022D">
              <w:t xml:space="preserve"> of </w:t>
            </w:r>
            <w:r w:rsidR="00EA365F" w:rsidRPr="0025022D">
              <w:rPr>
                <w:bCs/>
              </w:rPr>
              <w:fldChar w:fldCharType="begin"/>
            </w:r>
            <w:r w:rsidRPr="0025022D">
              <w:rPr>
                <w:bCs/>
              </w:rPr>
              <w:instrText xml:space="preserve"> NUMPAGES  </w:instrText>
            </w:r>
            <w:r w:rsidR="00EA365F" w:rsidRPr="0025022D">
              <w:rPr>
                <w:bCs/>
              </w:rPr>
              <w:fldChar w:fldCharType="separate"/>
            </w:r>
            <w:r w:rsidR="00E807D4">
              <w:rPr>
                <w:bCs/>
                <w:noProof/>
              </w:rPr>
              <w:t>6</w:t>
            </w:r>
            <w:r w:rsidR="00EA365F" w:rsidRPr="0025022D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0E" w:rsidRDefault="00DC050E">
      <w:r>
        <w:separator/>
      </w:r>
    </w:p>
  </w:footnote>
  <w:footnote w:type="continuationSeparator" w:id="0">
    <w:p w:rsidR="00DC050E" w:rsidRDefault="00DC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FAF"/>
    <w:multiLevelType w:val="hybridMultilevel"/>
    <w:tmpl w:val="8F927E40"/>
    <w:lvl w:ilvl="0" w:tplc="2E840C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A5796">
      <w:start w:val="1"/>
      <w:numFmt w:val="bullet"/>
      <w:lvlText w:val="o"/>
      <w:lvlJc w:val="left"/>
      <w:pPr>
        <w:tabs>
          <w:tab w:val="num" w:pos="180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CC06AA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E7968"/>
    <w:multiLevelType w:val="hybridMultilevel"/>
    <w:tmpl w:val="03D0932A"/>
    <w:lvl w:ilvl="0" w:tplc="2E840C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45EAE"/>
    <w:multiLevelType w:val="hybridMultilevel"/>
    <w:tmpl w:val="27B469F2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9C45950"/>
    <w:multiLevelType w:val="hybridMultilevel"/>
    <w:tmpl w:val="48A0B738"/>
    <w:lvl w:ilvl="0" w:tplc="6B841416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  <w:b w:val="0"/>
        <w:sz w:val="24"/>
        <w:szCs w:val="24"/>
      </w:rPr>
    </w:lvl>
    <w:lvl w:ilvl="1" w:tplc="9E2A5796">
      <w:start w:val="1"/>
      <w:numFmt w:val="bullet"/>
      <w:lvlText w:val="o"/>
      <w:lvlJc w:val="left"/>
      <w:pPr>
        <w:tabs>
          <w:tab w:val="num" w:pos="1800"/>
        </w:tabs>
        <w:ind w:left="1440" w:hanging="360"/>
      </w:pPr>
      <w:rPr>
        <w:rFonts w:ascii="Courier New" w:hAnsi="Courier New" w:hint="default"/>
        <w:b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B55B7"/>
    <w:multiLevelType w:val="hybridMultilevel"/>
    <w:tmpl w:val="4D0A07D0"/>
    <w:lvl w:ilvl="0" w:tplc="9E2A5796">
      <w:start w:val="1"/>
      <w:numFmt w:val="bullet"/>
      <w:lvlText w:val="o"/>
      <w:lvlJc w:val="left"/>
      <w:pPr>
        <w:tabs>
          <w:tab w:val="num" w:pos="108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30973"/>
    <w:multiLevelType w:val="hybridMultilevel"/>
    <w:tmpl w:val="6F1641CE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060611D"/>
    <w:multiLevelType w:val="hybridMultilevel"/>
    <w:tmpl w:val="C1C419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1A5E35"/>
    <w:multiLevelType w:val="hybridMultilevel"/>
    <w:tmpl w:val="C388B966"/>
    <w:lvl w:ilvl="0" w:tplc="2E840C2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72008"/>
    <w:multiLevelType w:val="hybridMultilevel"/>
    <w:tmpl w:val="FDC064F4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9672E9D"/>
    <w:multiLevelType w:val="hybridMultilevel"/>
    <w:tmpl w:val="DC567376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D132231"/>
    <w:multiLevelType w:val="hybridMultilevel"/>
    <w:tmpl w:val="28BC1ECA"/>
    <w:lvl w:ilvl="0" w:tplc="019C1B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FF6DF7"/>
    <w:multiLevelType w:val="hybridMultilevel"/>
    <w:tmpl w:val="5A806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D2B77"/>
    <w:multiLevelType w:val="hybridMultilevel"/>
    <w:tmpl w:val="DC8CA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375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A67ECE"/>
    <w:multiLevelType w:val="hybridMultilevel"/>
    <w:tmpl w:val="130CF4FE"/>
    <w:lvl w:ilvl="0" w:tplc="2E840C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0E3A6">
      <w:start w:val="1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073EEF"/>
    <w:multiLevelType w:val="hybridMultilevel"/>
    <w:tmpl w:val="51328118"/>
    <w:lvl w:ilvl="0" w:tplc="6B841416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  <w:b w:val="0"/>
        <w:sz w:val="24"/>
        <w:szCs w:val="24"/>
      </w:rPr>
    </w:lvl>
    <w:lvl w:ilvl="1" w:tplc="2E840C26">
      <w:start w:val="1"/>
      <w:numFmt w:val="bullet"/>
      <w:lvlText w:val="►"/>
      <w:lvlJc w:val="left"/>
      <w:pPr>
        <w:tabs>
          <w:tab w:val="num" w:pos="1800"/>
        </w:tabs>
        <w:ind w:left="1440" w:hanging="360"/>
      </w:pPr>
      <w:rPr>
        <w:rFonts w:ascii="Arial" w:hAnsi="Arial" w:hint="default"/>
        <w:b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DD45E6"/>
    <w:multiLevelType w:val="hybridMultilevel"/>
    <w:tmpl w:val="762AB2B4"/>
    <w:lvl w:ilvl="0" w:tplc="2E840C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302F0"/>
    <w:multiLevelType w:val="hybridMultilevel"/>
    <w:tmpl w:val="1C1E15C2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F63311B"/>
    <w:multiLevelType w:val="hybridMultilevel"/>
    <w:tmpl w:val="263C0EC2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FB1470F"/>
    <w:multiLevelType w:val="hybridMultilevel"/>
    <w:tmpl w:val="91341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265820"/>
    <w:multiLevelType w:val="hybridMultilevel"/>
    <w:tmpl w:val="FDB22B0C"/>
    <w:lvl w:ilvl="0" w:tplc="2E840C26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790EEA"/>
    <w:multiLevelType w:val="hybridMultilevel"/>
    <w:tmpl w:val="C148867A"/>
    <w:lvl w:ilvl="0" w:tplc="6B841416">
      <w:start w:val="1"/>
      <w:numFmt w:val="bullet"/>
      <w:lvlText w:val="►"/>
      <w:lvlJc w:val="left"/>
      <w:pPr>
        <w:tabs>
          <w:tab w:val="num" w:pos="450"/>
        </w:tabs>
        <w:ind w:left="45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DD1936"/>
    <w:multiLevelType w:val="hybridMultilevel"/>
    <w:tmpl w:val="A1C45B90"/>
    <w:lvl w:ilvl="0" w:tplc="6B84141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sz w:val="24"/>
        <w:szCs w:val="24"/>
      </w:rPr>
    </w:lvl>
    <w:lvl w:ilvl="1" w:tplc="CE867F68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 w:val="0"/>
        <w:sz w:val="3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535317"/>
    <w:multiLevelType w:val="hybridMultilevel"/>
    <w:tmpl w:val="3EFA5A18"/>
    <w:lvl w:ilvl="0" w:tplc="2E840C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25426"/>
    <w:multiLevelType w:val="hybridMultilevel"/>
    <w:tmpl w:val="12A49F2A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474855F0"/>
    <w:multiLevelType w:val="hybridMultilevel"/>
    <w:tmpl w:val="54DE3794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49BA3A3E"/>
    <w:multiLevelType w:val="hybridMultilevel"/>
    <w:tmpl w:val="7ED07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413AC"/>
    <w:multiLevelType w:val="hybridMultilevel"/>
    <w:tmpl w:val="D31EDAA8"/>
    <w:lvl w:ilvl="0" w:tplc="019C1B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05347B4"/>
    <w:multiLevelType w:val="hybridMultilevel"/>
    <w:tmpl w:val="1ACEC0F4"/>
    <w:lvl w:ilvl="0" w:tplc="2E840C2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1225727"/>
    <w:multiLevelType w:val="hybridMultilevel"/>
    <w:tmpl w:val="C2BE8FD6"/>
    <w:lvl w:ilvl="0" w:tplc="1EF02F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F74595"/>
    <w:multiLevelType w:val="hybridMultilevel"/>
    <w:tmpl w:val="73804FA8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AF1170"/>
    <w:multiLevelType w:val="hybridMultilevel"/>
    <w:tmpl w:val="E286D47C"/>
    <w:lvl w:ilvl="0" w:tplc="6B84141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58934E2A"/>
    <w:multiLevelType w:val="hybridMultilevel"/>
    <w:tmpl w:val="5C2C7BC8"/>
    <w:lvl w:ilvl="0" w:tplc="1EF02F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2A06EAF"/>
    <w:multiLevelType w:val="hybridMultilevel"/>
    <w:tmpl w:val="1D000826"/>
    <w:lvl w:ilvl="0" w:tplc="9E2A5796">
      <w:start w:val="1"/>
      <w:numFmt w:val="bullet"/>
      <w:lvlText w:val="o"/>
      <w:lvlJc w:val="left"/>
      <w:pPr>
        <w:tabs>
          <w:tab w:val="num" w:pos="108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957790"/>
    <w:multiLevelType w:val="hybridMultilevel"/>
    <w:tmpl w:val="9BBAAA38"/>
    <w:lvl w:ilvl="0" w:tplc="6B84141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sz w:val="24"/>
        <w:szCs w:val="24"/>
      </w:rPr>
    </w:lvl>
    <w:lvl w:ilvl="1" w:tplc="CE867F68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 w:val="0"/>
        <w:sz w:val="3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D313B6"/>
    <w:multiLevelType w:val="hybridMultilevel"/>
    <w:tmpl w:val="01C8D5A0"/>
    <w:lvl w:ilvl="0" w:tplc="2E840C2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91C3209"/>
    <w:multiLevelType w:val="hybridMultilevel"/>
    <w:tmpl w:val="C66CC864"/>
    <w:lvl w:ilvl="0" w:tplc="88D25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B5B4ACB"/>
    <w:multiLevelType w:val="hybridMultilevel"/>
    <w:tmpl w:val="2012988A"/>
    <w:lvl w:ilvl="0" w:tplc="9E2A5796">
      <w:start w:val="1"/>
      <w:numFmt w:val="bullet"/>
      <w:lvlText w:val="o"/>
      <w:lvlJc w:val="left"/>
      <w:pPr>
        <w:tabs>
          <w:tab w:val="num" w:pos="108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C3504"/>
    <w:multiLevelType w:val="hybridMultilevel"/>
    <w:tmpl w:val="2AB6137E"/>
    <w:lvl w:ilvl="0" w:tplc="2E840C26">
      <w:start w:val="1"/>
      <w:numFmt w:val="bullet"/>
      <w:lvlText w:val="►"/>
      <w:lvlJc w:val="left"/>
      <w:pPr>
        <w:tabs>
          <w:tab w:val="num" w:pos="108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929DA"/>
    <w:multiLevelType w:val="hybridMultilevel"/>
    <w:tmpl w:val="B3045732"/>
    <w:lvl w:ilvl="0" w:tplc="2E840C2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A2E0A"/>
    <w:multiLevelType w:val="hybridMultilevel"/>
    <w:tmpl w:val="E9CCF0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616A4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E485FDD"/>
    <w:multiLevelType w:val="hybridMultilevel"/>
    <w:tmpl w:val="C9D8F912"/>
    <w:lvl w:ilvl="0" w:tplc="1EF02F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083CEE"/>
    <w:multiLevelType w:val="hybridMultilevel"/>
    <w:tmpl w:val="3348A9A0"/>
    <w:lvl w:ilvl="0" w:tplc="6B841416">
      <w:start w:val="1"/>
      <w:numFmt w:val="bullet"/>
      <w:lvlText w:val="►"/>
      <w:lvlJc w:val="left"/>
      <w:pPr>
        <w:tabs>
          <w:tab w:val="num" w:pos="810"/>
        </w:tabs>
        <w:ind w:left="810" w:hanging="360"/>
      </w:pPr>
      <w:rPr>
        <w:rFonts w:ascii="Book Antiqua" w:hAnsi="Book Antiqua" w:hint="default"/>
        <w:b w:val="0"/>
        <w:sz w:val="24"/>
        <w:szCs w:val="24"/>
      </w:rPr>
    </w:lvl>
    <w:lvl w:ilvl="1" w:tplc="1EF02FA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"/>
  </w:num>
  <w:num w:numId="3">
    <w:abstractNumId w:val="16"/>
  </w:num>
  <w:num w:numId="4">
    <w:abstractNumId w:val="41"/>
  </w:num>
  <w:num w:numId="5">
    <w:abstractNumId w:val="13"/>
  </w:num>
  <w:num w:numId="6">
    <w:abstractNumId w:val="3"/>
  </w:num>
  <w:num w:numId="7">
    <w:abstractNumId w:val="37"/>
  </w:num>
  <w:num w:numId="8">
    <w:abstractNumId w:val="14"/>
  </w:num>
  <w:num w:numId="9">
    <w:abstractNumId w:val="33"/>
  </w:num>
  <w:num w:numId="10">
    <w:abstractNumId w:val="30"/>
  </w:num>
  <w:num w:numId="11">
    <w:abstractNumId w:val="4"/>
  </w:num>
  <w:num w:numId="12">
    <w:abstractNumId w:val="34"/>
  </w:num>
  <w:num w:numId="13">
    <w:abstractNumId w:val="20"/>
  </w:num>
  <w:num w:numId="14">
    <w:abstractNumId w:val="0"/>
  </w:num>
  <w:num w:numId="15">
    <w:abstractNumId w:val="17"/>
  </w:num>
  <w:num w:numId="16">
    <w:abstractNumId w:val="28"/>
  </w:num>
  <w:num w:numId="17">
    <w:abstractNumId w:val="35"/>
  </w:num>
  <w:num w:numId="18">
    <w:abstractNumId w:val="22"/>
  </w:num>
  <w:num w:numId="19">
    <w:abstractNumId w:val="25"/>
  </w:num>
  <w:num w:numId="20">
    <w:abstractNumId w:val="9"/>
  </w:num>
  <w:num w:numId="21">
    <w:abstractNumId w:val="5"/>
  </w:num>
  <w:num w:numId="22">
    <w:abstractNumId w:val="18"/>
  </w:num>
  <w:num w:numId="23">
    <w:abstractNumId w:val="8"/>
  </w:num>
  <w:num w:numId="24">
    <w:abstractNumId w:val="2"/>
  </w:num>
  <w:num w:numId="25">
    <w:abstractNumId w:val="31"/>
  </w:num>
  <w:num w:numId="26">
    <w:abstractNumId w:val="32"/>
  </w:num>
  <w:num w:numId="27">
    <w:abstractNumId w:val="29"/>
  </w:num>
  <w:num w:numId="28">
    <w:abstractNumId w:val="42"/>
  </w:num>
  <w:num w:numId="29">
    <w:abstractNumId w:val="24"/>
  </w:num>
  <w:num w:numId="30">
    <w:abstractNumId w:val="21"/>
  </w:num>
  <w:num w:numId="31">
    <w:abstractNumId w:val="43"/>
  </w:num>
  <w:num w:numId="32">
    <w:abstractNumId w:val="23"/>
  </w:num>
  <w:num w:numId="33">
    <w:abstractNumId w:val="27"/>
  </w:num>
  <w:num w:numId="34">
    <w:abstractNumId w:val="10"/>
  </w:num>
  <w:num w:numId="35">
    <w:abstractNumId w:val="11"/>
  </w:num>
  <w:num w:numId="36">
    <w:abstractNumId w:val="26"/>
  </w:num>
  <w:num w:numId="37">
    <w:abstractNumId w:val="12"/>
  </w:num>
  <w:num w:numId="38">
    <w:abstractNumId w:val="15"/>
  </w:num>
  <w:num w:numId="39">
    <w:abstractNumId w:val="39"/>
  </w:num>
  <w:num w:numId="40">
    <w:abstractNumId w:val="7"/>
  </w:num>
  <w:num w:numId="41">
    <w:abstractNumId w:val="38"/>
  </w:num>
  <w:num w:numId="42">
    <w:abstractNumId w:val="6"/>
  </w:num>
  <w:num w:numId="43">
    <w:abstractNumId w:val="40"/>
  </w:num>
  <w:num w:numId="4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88"/>
    <w:rsid w:val="00006A8B"/>
    <w:rsid w:val="00007C93"/>
    <w:rsid w:val="000115A6"/>
    <w:rsid w:val="000147AE"/>
    <w:rsid w:val="00014940"/>
    <w:rsid w:val="0001612A"/>
    <w:rsid w:val="00022E35"/>
    <w:rsid w:val="000237F9"/>
    <w:rsid w:val="00025800"/>
    <w:rsid w:val="00025CBB"/>
    <w:rsid w:val="00027734"/>
    <w:rsid w:val="0004072E"/>
    <w:rsid w:val="00041B04"/>
    <w:rsid w:val="0004304D"/>
    <w:rsid w:val="00043E25"/>
    <w:rsid w:val="00044095"/>
    <w:rsid w:val="0004438D"/>
    <w:rsid w:val="00050227"/>
    <w:rsid w:val="00052190"/>
    <w:rsid w:val="000569B9"/>
    <w:rsid w:val="00061B8F"/>
    <w:rsid w:val="000653BC"/>
    <w:rsid w:val="00084D9E"/>
    <w:rsid w:val="000869D7"/>
    <w:rsid w:val="00086ED5"/>
    <w:rsid w:val="00087CBA"/>
    <w:rsid w:val="00094012"/>
    <w:rsid w:val="000A3373"/>
    <w:rsid w:val="000A3A0D"/>
    <w:rsid w:val="000A652D"/>
    <w:rsid w:val="000A6AA9"/>
    <w:rsid w:val="000B3E0F"/>
    <w:rsid w:val="000B7F4B"/>
    <w:rsid w:val="000C20B3"/>
    <w:rsid w:val="000D1E03"/>
    <w:rsid w:val="000E113D"/>
    <w:rsid w:val="000F1858"/>
    <w:rsid w:val="000F3010"/>
    <w:rsid w:val="000F7372"/>
    <w:rsid w:val="000F73D0"/>
    <w:rsid w:val="000F7F8F"/>
    <w:rsid w:val="00102700"/>
    <w:rsid w:val="00103FE5"/>
    <w:rsid w:val="0011184A"/>
    <w:rsid w:val="00121CC2"/>
    <w:rsid w:val="00127B91"/>
    <w:rsid w:val="00130308"/>
    <w:rsid w:val="00132E30"/>
    <w:rsid w:val="001404B1"/>
    <w:rsid w:val="001430A0"/>
    <w:rsid w:val="00147155"/>
    <w:rsid w:val="00147F8A"/>
    <w:rsid w:val="00151B03"/>
    <w:rsid w:val="0015229D"/>
    <w:rsid w:val="001570A1"/>
    <w:rsid w:val="00160131"/>
    <w:rsid w:val="001628D1"/>
    <w:rsid w:val="001629D3"/>
    <w:rsid w:val="00162A3D"/>
    <w:rsid w:val="00163DCC"/>
    <w:rsid w:val="001664A2"/>
    <w:rsid w:val="00171E49"/>
    <w:rsid w:val="0017377F"/>
    <w:rsid w:val="00176015"/>
    <w:rsid w:val="00177E60"/>
    <w:rsid w:val="0018192C"/>
    <w:rsid w:val="0018213A"/>
    <w:rsid w:val="00184E1E"/>
    <w:rsid w:val="0019254D"/>
    <w:rsid w:val="00194ABE"/>
    <w:rsid w:val="001A7257"/>
    <w:rsid w:val="001A7C40"/>
    <w:rsid w:val="001B2AD8"/>
    <w:rsid w:val="001B6131"/>
    <w:rsid w:val="001B724E"/>
    <w:rsid w:val="001C48C1"/>
    <w:rsid w:val="001C722D"/>
    <w:rsid w:val="001D16DC"/>
    <w:rsid w:val="001D51A5"/>
    <w:rsid w:val="001D76BD"/>
    <w:rsid w:val="001E5072"/>
    <w:rsid w:val="001E6DC0"/>
    <w:rsid w:val="001E7621"/>
    <w:rsid w:val="001E7F79"/>
    <w:rsid w:val="001F1BFC"/>
    <w:rsid w:val="001F1DEE"/>
    <w:rsid w:val="001F2958"/>
    <w:rsid w:val="001F5E3E"/>
    <w:rsid w:val="0020547D"/>
    <w:rsid w:val="0020687E"/>
    <w:rsid w:val="00217DBB"/>
    <w:rsid w:val="002253C4"/>
    <w:rsid w:val="00233A5E"/>
    <w:rsid w:val="00240B0B"/>
    <w:rsid w:val="002450E8"/>
    <w:rsid w:val="00246626"/>
    <w:rsid w:val="0025022D"/>
    <w:rsid w:val="002515FE"/>
    <w:rsid w:val="0025231E"/>
    <w:rsid w:val="00260EB5"/>
    <w:rsid w:val="00275AE7"/>
    <w:rsid w:val="00277744"/>
    <w:rsid w:val="00280F45"/>
    <w:rsid w:val="00281B44"/>
    <w:rsid w:val="00281ED4"/>
    <w:rsid w:val="002856EC"/>
    <w:rsid w:val="002944BB"/>
    <w:rsid w:val="00294A43"/>
    <w:rsid w:val="00296C54"/>
    <w:rsid w:val="002A2E0D"/>
    <w:rsid w:val="002B4190"/>
    <w:rsid w:val="002B4A7E"/>
    <w:rsid w:val="002C1FF0"/>
    <w:rsid w:val="002C6A13"/>
    <w:rsid w:val="002D1D19"/>
    <w:rsid w:val="002D21A0"/>
    <w:rsid w:val="002D33A9"/>
    <w:rsid w:val="002D52B4"/>
    <w:rsid w:val="002D56A0"/>
    <w:rsid w:val="002D7BA2"/>
    <w:rsid w:val="002E06FF"/>
    <w:rsid w:val="002E1BE6"/>
    <w:rsid w:val="002E6170"/>
    <w:rsid w:val="002E7D97"/>
    <w:rsid w:val="002F4555"/>
    <w:rsid w:val="002F7438"/>
    <w:rsid w:val="003007E7"/>
    <w:rsid w:val="003008A3"/>
    <w:rsid w:val="00301507"/>
    <w:rsid w:val="00305CD0"/>
    <w:rsid w:val="00306B27"/>
    <w:rsid w:val="0031026F"/>
    <w:rsid w:val="003116BD"/>
    <w:rsid w:val="003120C9"/>
    <w:rsid w:val="00312539"/>
    <w:rsid w:val="00314728"/>
    <w:rsid w:val="0031555F"/>
    <w:rsid w:val="003155C5"/>
    <w:rsid w:val="00321A35"/>
    <w:rsid w:val="00327CB1"/>
    <w:rsid w:val="00340836"/>
    <w:rsid w:val="00340955"/>
    <w:rsid w:val="003410EC"/>
    <w:rsid w:val="003426C6"/>
    <w:rsid w:val="00344171"/>
    <w:rsid w:val="003464C3"/>
    <w:rsid w:val="003501EE"/>
    <w:rsid w:val="003575A7"/>
    <w:rsid w:val="003647FF"/>
    <w:rsid w:val="0036652B"/>
    <w:rsid w:val="00371D8F"/>
    <w:rsid w:val="00372372"/>
    <w:rsid w:val="00374BE0"/>
    <w:rsid w:val="00374EDB"/>
    <w:rsid w:val="0037780A"/>
    <w:rsid w:val="003802B8"/>
    <w:rsid w:val="00383C19"/>
    <w:rsid w:val="00383CAE"/>
    <w:rsid w:val="00387AD4"/>
    <w:rsid w:val="0039424A"/>
    <w:rsid w:val="00397A0D"/>
    <w:rsid w:val="003A0C67"/>
    <w:rsid w:val="003A500D"/>
    <w:rsid w:val="003B74DB"/>
    <w:rsid w:val="003C0B8C"/>
    <w:rsid w:val="003C3846"/>
    <w:rsid w:val="003C473F"/>
    <w:rsid w:val="003C7920"/>
    <w:rsid w:val="003D1795"/>
    <w:rsid w:val="003D5649"/>
    <w:rsid w:val="003E0F54"/>
    <w:rsid w:val="003E5157"/>
    <w:rsid w:val="003F2B0F"/>
    <w:rsid w:val="003F443C"/>
    <w:rsid w:val="003F614A"/>
    <w:rsid w:val="003F7D6C"/>
    <w:rsid w:val="00401862"/>
    <w:rsid w:val="004103C2"/>
    <w:rsid w:val="00411ECD"/>
    <w:rsid w:val="0041570B"/>
    <w:rsid w:val="00415F78"/>
    <w:rsid w:val="00416C9C"/>
    <w:rsid w:val="004210AA"/>
    <w:rsid w:val="00422356"/>
    <w:rsid w:val="00424DA0"/>
    <w:rsid w:val="00425B84"/>
    <w:rsid w:val="00427642"/>
    <w:rsid w:val="00434265"/>
    <w:rsid w:val="0043634D"/>
    <w:rsid w:val="00437C7B"/>
    <w:rsid w:val="004414D4"/>
    <w:rsid w:val="00441A51"/>
    <w:rsid w:val="004422F2"/>
    <w:rsid w:val="004428BE"/>
    <w:rsid w:val="00443D81"/>
    <w:rsid w:val="004450AE"/>
    <w:rsid w:val="00450AED"/>
    <w:rsid w:val="004536A3"/>
    <w:rsid w:val="00455143"/>
    <w:rsid w:val="00456BE2"/>
    <w:rsid w:val="0045758D"/>
    <w:rsid w:val="00462421"/>
    <w:rsid w:val="00464347"/>
    <w:rsid w:val="0047041F"/>
    <w:rsid w:val="00471F28"/>
    <w:rsid w:val="00473487"/>
    <w:rsid w:val="00473A76"/>
    <w:rsid w:val="00473C4B"/>
    <w:rsid w:val="00473FB3"/>
    <w:rsid w:val="00475B95"/>
    <w:rsid w:val="004804F9"/>
    <w:rsid w:val="00491853"/>
    <w:rsid w:val="00492ECC"/>
    <w:rsid w:val="00495874"/>
    <w:rsid w:val="004A0646"/>
    <w:rsid w:val="004B4F29"/>
    <w:rsid w:val="004B560E"/>
    <w:rsid w:val="004C0A40"/>
    <w:rsid w:val="004C2649"/>
    <w:rsid w:val="004C61B1"/>
    <w:rsid w:val="004D02BF"/>
    <w:rsid w:val="004D04BB"/>
    <w:rsid w:val="004D0C7B"/>
    <w:rsid w:val="004D0FAD"/>
    <w:rsid w:val="004D3E31"/>
    <w:rsid w:val="004D4B6D"/>
    <w:rsid w:val="004D4FB6"/>
    <w:rsid w:val="004D5ABF"/>
    <w:rsid w:val="004D79EF"/>
    <w:rsid w:val="004E0012"/>
    <w:rsid w:val="004E3668"/>
    <w:rsid w:val="004E5C4A"/>
    <w:rsid w:val="00505B3C"/>
    <w:rsid w:val="00507217"/>
    <w:rsid w:val="00507354"/>
    <w:rsid w:val="005152B1"/>
    <w:rsid w:val="00520B3F"/>
    <w:rsid w:val="0052514A"/>
    <w:rsid w:val="005321B6"/>
    <w:rsid w:val="00535752"/>
    <w:rsid w:val="00535EE9"/>
    <w:rsid w:val="00536D14"/>
    <w:rsid w:val="00541067"/>
    <w:rsid w:val="005459D0"/>
    <w:rsid w:val="005467E8"/>
    <w:rsid w:val="005616F5"/>
    <w:rsid w:val="00563EC9"/>
    <w:rsid w:val="00564BC3"/>
    <w:rsid w:val="005659CC"/>
    <w:rsid w:val="005662E2"/>
    <w:rsid w:val="0057074F"/>
    <w:rsid w:val="00570A00"/>
    <w:rsid w:val="00573C89"/>
    <w:rsid w:val="00574BD0"/>
    <w:rsid w:val="00576B02"/>
    <w:rsid w:val="00577D30"/>
    <w:rsid w:val="00583936"/>
    <w:rsid w:val="00583CAA"/>
    <w:rsid w:val="00596129"/>
    <w:rsid w:val="00596C38"/>
    <w:rsid w:val="005A34C6"/>
    <w:rsid w:val="005B0E3D"/>
    <w:rsid w:val="005B15C5"/>
    <w:rsid w:val="005B4056"/>
    <w:rsid w:val="005B57E3"/>
    <w:rsid w:val="005C3671"/>
    <w:rsid w:val="005C36BE"/>
    <w:rsid w:val="005C3EAF"/>
    <w:rsid w:val="005D3A85"/>
    <w:rsid w:val="005D6958"/>
    <w:rsid w:val="005D7EE4"/>
    <w:rsid w:val="005E05BC"/>
    <w:rsid w:val="005E068C"/>
    <w:rsid w:val="005E22D1"/>
    <w:rsid w:val="005E2313"/>
    <w:rsid w:val="005E491D"/>
    <w:rsid w:val="005E7466"/>
    <w:rsid w:val="005F056C"/>
    <w:rsid w:val="005F4B57"/>
    <w:rsid w:val="005F538D"/>
    <w:rsid w:val="00614EAC"/>
    <w:rsid w:val="00616506"/>
    <w:rsid w:val="0062035F"/>
    <w:rsid w:val="006206B7"/>
    <w:rsid w:val="00621214"/>
    <w:rsid w:val="00621A9F"/>
    <w:rsid w:val="00624157"/>
    <w:rsid w:val="00624E05"/>
    <w:rsid w:val="00626867"/>
    <w:rsid w:val="00627523"/>
    <w:rsid w:val="00633DF0"/>
    <w:rsid w:val="00636F81"/>
    <w:rsid w:val="00644B35"/>
    <w:rsid w:val="0065123E"/>
    <w:rsid w:val="0066103D"/>
    <w:rsid w:val="00664441"/>
    <w:rsid w:val="006658BF"/>
    <w:rsid w:val="0067101E"/>
    <w:rsid w:val="00673A01"/>
    <w:rsid w:val="00680A33"/>
    <w:rsid w:val="00691222"/>
    <w:rsid w:val="006930D5"/>
    <w:rsid w:val="00693A35"/>
    <w:rsid w:val="0069447E"/>
    <w:rsid w:val="00697D32"/>
    <w:rsid w:val="006A4ADF"/>
    <w:rsid w:val="006B60D3"/>
    <w:rsid w:val="006B6537"/>
    <w:rsid w:val="006C0D25"/>
    <w:rsid w:val="006C37DC"/>
    <w:rsid w:val="006D018C"/>
    <w:rsid w:val="006D03F1"/>
    <w:rsid w:val="006D1A97"/>
    <w:rsid w:val="006D5064"/>
    <w:rsid w:val="006D790F"/>
    <w:rsid w:val="006D79B9"/>
    <w:rsid w:val="006E00A4"/>
    <w:rsid w:val="006E16E1"/>
    <w:rsid w:val="006E536F"/>
    <w:rsid w:val="006E69B6"/>
    <w:rsid w:val="006F1722"/>
    <w:rsid w:val="006F4F1D"/>
    <w:rsid w:val="006F5BB9"/>
    <w:rsid w:val="0070496D"/>
    <w:rsid w:val="00706F1D"/>
    <w:rsid w:val="00706FF5"/>
    <w:rsid w:val="00721414"/>
    <w:rsid w:val="00722674"/>
    <w:rsid w:val="0072343A"/>
    <w:rsid w:val="007270D4"/>
    <w:rsid w:val="007338B1"/>
    <w:rsid w:val="007441CB"/>
    <w:rsid w:val="00744F38"/>
    <w:rsid w:val="00750AD7"/>
    <w:rsid w:val="0076093F"/>
    <w:rsid w:val="007621A4"/>
    <w:rsid w:val="00764A22"/>
    <w:rsid w:val="00766718"/>
    <w:rsid w:val="0076685C"/>
    <w:rsid w:val="00771FCF"/>
    <w:rsid w:val="007722CA"/>
    <w:rsid w:val="00773A18"/>
    <w:rsid w:val="00777BA3"/>
    <w:rsid w:val="00780F0C"/>
    <w:rsid w:val="007859B7"/>
    <w:rsid w:val="00794AA4"/>
    <w:rsid w:val="00795788"/>
    <w:rsid w:val="00796311"/>
    <w:rsid w:val="00797658"/>
    <w:rsid w:val="007A099A"/>
    <w:rsid w:val="007A4173"/>
    <w:rsid w:val="007A77D8"/>
    <w:rsid w:val="007B3977"/>
    <w:rsid w:val="007B41F6"/>
    <w:rsid w:val="007B7642"/>
    <w:rsid w:val="007D70DC"/>
    <w:rsid w:val="007E4BAC"/>
    <w:rsid w:val="007F2D62"/>
    <w:rsid w:val="007F3739"/>
    <w:rsid w:val="00800B00"/>
    <w:rsid w:val="00801AD6"/>
    <w:rsid w:val="008032DA"/>
    <w:rsid w:val="0080426D"/>
    <w:rsid w:val="008243C7"/>
    <w:rsid w:val="00827B96"/>
    <w:rsid w:val="00827EA9"/>
    <w:rsid w:val="00832DA4"/>
    <w:rsid w:val="00835A24"/>
    <w:rsid w:val="0083627A"/>
    <w:rsid w:val="008402B4"/>
    <w:rsid w:val="00840B24"/>
    <w:rsid w:val="00853E47"/>
    <w:rsid w:val="008556EE"/>
    <w:rsid w:val="00855BE9"/>
    <w:rsid w:val="00856F60"/>
    <w:rsid w:val="00862931"/>
    <w:rsid w:val="008729BC"/>
    <w:rsid w:val="008748C2"/>
    <w:rsid w:val="008760F7"/>
    <w:rsid w:val="00877E43"/>
    <w:rsid w:val="0089039D"/>
    <w:rsid w:val="00890DF1"/>
    <w:rsid w:val="0089326C"/>
    <w:rsid w:val="00893BE5"/>
    <w:rsid w:val="00894653"/>
    <w:rsid w:val="00895CF8"/>
    <w:rsid w:val="00896EB5"/>
    <w:rsid w:val="008977C8"/>
    <w:rsid w:val="008A0F4B"/>
    <w:rsid w:val="008A31E7"/>
    <w:rsid w:val="008A79D3"/>
    <w:rsid w:val="008A7CFE"/>
    <w:rsid w:val="008A7D6E"/>
    <w:rsid w:val="008B2C5C"/>
    <w:rsid w:val="008B3482"/>
    <w:rsid w:val="008C032B"/>
    <w:rsid w:val="008C4C07"/>
    <w:rsid w:val="008C6A22"/>
    <w:rsid w:val="008D07A6"/>
    <w:rsid w:val="008D1405"/>
    <w:rsid w:val="008D38DC"/>
    <w:rsid w:val="008D50CE"/>
    <w:rsid w:val="008D5E5E"/>
    <w:rsid w:val="008E0624"/>
    <w:rsid w:val="008E2740"/>
    <w:rsid w:val="008E636D"/>
    <w:rsid w:val="008E65D4"/>
    <w:rsid w:val="008E7C38"/>
    <w:rsid w:val="008F2BF2"/>
    <w:rsid w:val="008F6422"/>
    <w:rsid w:val="008F6B49"/>
    <w:rsid w:val="00902383"/>
    <w:rsid w:val="00903233"/>
    <w:rsid w:val="00903E35"/>
    <w:rsid w:val="00911E65"/>
    <w:rsid w:val="00913DD6"/>
    <w:rsid w:val="0091403D"/>
    <w:rsid w:val="0092105E"/>
    <w:rsid w:val="00930B35"/>
    <w:rsid w:val="00933D5F"/>
    <w:rsid w:val="00934B1F"/>
    <w:rsid w:val="009414C8"/>
    <w:rsid w:val="00941E7A"/>
    <w:rsid w:val="00942906"/>
    <w:rsid w:val="00942C01"/>
    <w:rsid w:val="009442AD"/>
    <w:rsid w:val="00947756"/>
    <w:rsid w:val="00956F39"/>
    <w:rsid w:val="009604DA"/>
    <w:rsid w:val="00963BEB"/>
    <w:rsid w:val="009708BB"/>
    <w:rsid w:val="009721F1"/>
    <w:rsid w:val="00972C4A"/>
    <w:rsid w:val="009804E9"/>
    <w:rsid w:val="00983099"/>
    <w:rsid w:val="009856F1"/>
    <w:rsid w:val="00991AC5"/>
    <w:rsid w:val="00995EE7"/>
    <w:rsid w:val="009961F8"/>
    <w:rsid w:val="009A3611"/>
    <w:rsid w:val="009A5FCE"/>
    <w:rsid w:val="009A6C7D"/>
    <w:rsid w:val="009B549B"/>
    <w:rsid w:val="009C1027"/>
    <w:rsid w:val="009D4793"/>
    <w:rsid w:val="009D7B08"/>
    <w:rsid w:val="009E30E8"/>
    <w:rsid w:val="009E3278"/>
    <w:rsid w:val="009E6FE4"/>
    <w:rsid w:val="009F0225"/>
    <w:rsid w:val="009F4E5D"/>
    <w:rsid w:val="00A02A9C"/>
    <w:rsid w:val="00A035D6"/>
    <w:rsid w:val="00A03FB5"/>
    <w:rsid w:val="00A06CE0"/>
    <w:rsid w:val="00A21D8B"/>
    <w:rsid w:val="00A24095"/>
    <w:rsid w:val="00A26620"/>
    <w:rsid w:val="00A26B5E"/>
    <w:rsid w:val="00A31B0F"/>
    <w:rsid w:val="00A32A03"/>
    <w:rsid w:val="00A33ACB"/>
    <w:rsid w:val="00A34A92"/>
    <w:rsid w:val="00A35C4B"/>
    <w:rsid w:val="00A36DCE"/>
    <w:rsid w:val="00A41B30"/>
    <w:rsid w:val="00A41D73"/>
    <w:rsid w:val="00A50969"/>
    <w:rsid w:val="00A5444D"/>
    <w:rsid w:val="00A56F2A"/>
    <w:rsid w:val="00A6518E"/>
    <w:rsid w:val="00A65B82"/>
    <w:rsid w:val="00A71A7F"/>
    <w:rsid w:val="00A7788A"/>
    <w:rsid w:val="00A821A1"/>
    <w:rsid w:val="00A8245A"/>
    <w:rsid w:val="00A82F1A"/>
    <w:rsid w:val="00A8748A"/>
    <w:rsid w:val="00A87B4E"/>
    <w:rsid w:val="00A96F83"/>
    <w:rsid w:val="00AA0BDF"/>
    <w:rsid w:val="00AA554B"/>
    <w:rsid w:val="00AB6B5C"/>
    <w:rsid w:val="00AC02D7"/>
    <w:rsid w:val="00AC0B3C"/>
    <w:rsid w:val="00AC21E6"/>
    <w:rsid w:val="00AC5D9D"/>
    <w:rsid w:val="00AD3E03"/>
    <w:rsid w:val="00AD4239"/>
    <w:rsid w:val="00AD520E"/>
    <w:rsid w:val="00AD6B55"/>
    <w:rsid w:val="00AE757C"/>
    <w:rsid w:val="00AF4B82"/>
    <w:rsid w:val="00B00FD5"/>
    <w:rsid w:val="00B0134B"/>
    <w:rsid w:val="00B036D6"/>
    <w:rsid w:val="00B04405"/>
    <w:rsid w:val="00B0451E"/>
    <w:rsid w:val="00B10205"/>
    <w:rsid w:val="00B11CA3"/>
    <w:rsid w:val="00B13EA2"/>
    <w:rsid w:val="00B161F0"/>
    <w:rsid w:val="00B27BA4"/>
    <w:rsid w:val="00B32A0B"/>
    <w:rsid w:val="00B32D57"/>
    <w:rsid w:val="00B339CF"/>
    <w:rsid w:val="00B340FE"/>
    <w:rsid w:val="00B40D6E"/>
    <w:rsid w:val="00B4381F"/>
    <w:rsid w:val="00B55284"/>
    <w:rsid w:val="00B57F10"/>
    <w:rsid w:val="00B60C52"/>
    <w:rsid w:val="00B62EAC"/>
    <w:rsid w:val="00B65945"/>
    <w:rsid w:val="00B8199F"/>
    <w:rsid w:val="00B86B62"/>
    <w:rsid w:val="00B86DC0"/>
    <w:rsid w:val="00B87CEA"/>
    <w:rsid w:val="00B87DC9"/>
    <w:rsid w:val="00B919E5"/>
    <w:rsid w:val="00B92E2D"/>
    <w:rsid w:val="00B9498E"/>
    <w:rsid w:val="00BA481B"/>
    <w:rsid w:val="00BA62E7"/>
    <w:rsid w:val="00BB3E49"/>
    <w:rsid w:val="00BB52B7"/>
    <w:rsid w:val="00BB69A9"/>
    <w:rsid w:val="00BC1595"/>
    <w:rsid w:val="00BC1E18"/>
    <w:rsid w:val="00BC3534"/>
    <w:rsid w:val="00BC6D6A"/>
    <w:rsid w:val="00BD3191"/>
    <w:rsid w:val="00BD56AB"/>
    <w:rsid w:val="00BE2CA1"/>
    <w:rsid w:val="00BE678F"/>
    <w:rsid w:val="00BF3FA7"/>
    <w:rsid w:val="00BF43BB"/>
    <w:rsid w:val="00BF6E40"/>
    <w:rsid w:val="00C02A51"/>
    <w:rsid w:val="00C02B59"/>
    <w:rsid w:val="00C04064"/>
    <w:rsid w:val="00C06B11"/>
    <w:rsid w:val="00C07334"/>
    <w:rsid w:val="00C17160"/>
    <w:rsid w:val="00C20354"/>
    <w:rsid w:val="00C20986"/>
    <w:rsid w:val="00C22D40"/>
    <w:rsid w:val="00C26456"/>
    <w:rsid w:val="00C30D9C"/>
    <w:rsid w:val="00C32A5A"/>
    <w:rsid w:val="00C3407D"/>
    <w:rsid w:val="00C341EC"/>
    <w:rsid w:val="00C36083"/>
    <w:rsid w:val="00C3630E"/>
    <w:rsid w:val="00C402CA"/>
    <w:rsid w:val="00C42260"/>
    <w:rsid w:val="00C425E0"/>
    <w:rsid w:val="00C44BFD"/>
    <w:rsid w:val="00C45C16"/>
    <w:rsid w:val="00C4663A"/>
    <w:rsid w:val="00C50934"/>
    <w:rsid w:val="00C529C6"/>
    <w:rsid w:val="00C56B25"/>
    <w:rsid w:val="00C56B28"/>
    <w:rsid w:val="00C56CA3"/>
    <w:rsid w:val="00C57E4D"/>
    <w:rsid w:val="00C778D8"/>
    <w:rsid w:val="00C83406"/>
    <w:rsid w:val="00C86694"/>
    <w:rsid w:val="00C87E0B"/>
    <w:rsid w:val="00C90EEA"/>
    <w:rsid w:val="00C92F17"/>
    <w:rsid w:val="00C93857"/>
    <w:rsid w:val="00C96695"/>
    <w:rsid w:val="00C97ADF"/>
    <w:rsid w:val="00CA6DA8"/>
    <w:rsid w:val="00CB3AA2"/>
    <w:rsid w:val="00CB4119"/>
    <w:rsid w:val="00CB44F5"/>
    <w:rsid w:val="00CC1526"/>
    <w:rsid w:val="00CC2CFD"/>
    <w:rsid w:val="00CC439E"/>
    <w:rsid w:val="00CC7340"/>
    <w:rsid w:val="00CD10B9"/>
    <w:rsid w:val="00CD2C32"/>
    <w:rsid w:val="00CD451E"/>
    <w:rsid w:val="00CD70D9"/>
    <w:rsid w:val="00CE4E19"/>
    <w:rsid w:val="00CE5DEF"/>
    <w:rsid w:val="00CE7D5D"/>
    <w:rsid w:val="00CF3F29"/>
    <w:rsid w:val="00CF4B8B"/>
    <w:rsid w:val="00CF5BBE"/>
    <w:rsid w:val="00D06334"/>
    <w:rsid w:val="00D13181"/>
    <w:rsid w:val="00D31EDC"/>
    <w:rsid w:val="00D32700"/>
    <w:rsid w:val="00D33D2B"/>
    <w:rsid w:val="00D34E4B"/>
    <w:rsid w:val="00D35D16"/>
    <w:rsid w:val="00D36623"/>
    <w:rsid w:val="00D42300"/>
    <w:rsid w:val="00D42720"/>
    <w:rsid w:val="00D4368B"/>
    <w:rsid w:val="00D47931"/>
    <w:rsid w:val="00D52892"/>
    <w:rsid w:val="00D56E7C"/>
    <w:rsid w:val="00D57014"/>
    <w:rsid w:val="00D573D1"/>
    <w:rsid w:val="00D6137A"/>
    <w:rsid w:val="00D61F5E"/>
    <w:rsid w:val="00D67475"/>
    <w:rsid w:val="00D75BAB"/>
    <w:rsid w:val="00D80466"/>
    <w:rsid w:val="00D83288"/>
    <w:rsid w:val="00D976B9"/>
    <w:rsid w:val="00DA2AA6"/>
    <w:rsid w:val="00DB5545"/>
    <w:rsid w:val="00DC050E"/>
    <w:rsid w:val="00DC08FA"/>
    <w:rsid w:val="00DC2932"/>
    <w:rsid w:val="00DD2327"/>
    <w:rsid w:val="00DD29B3"/>
    <w:rsid w:val="00DD421D"/>
    <w:rsid w:val="00DE451A"/>
    <w:rsid w:val="00DE58C9"/>
    <w:rsid w:val="00DE6141"/>
    <w:rsid w:val="00DF1ACF"/>
    <w:rsid w:val="00DF4C9D"/>
    <w:rsid w:val="00DF6375"/>
    <w:rsid w:val="00E04702"/>
    <w:rsid w:val="00E05333"/>
    <w:rsid w:val="00E10439"/>
    <w:rsid w:val="00E1218A"/>
    <w:rsid w:val="00E14CA0"/>
    <w:rsid w:val="00E16694"/>
    <w:rsid w:val="00E20A35"/>
    <w:rsid w:val="00E212E9"/>
    <w:rsid w:val="00E21368"/>
    <w:rsid w:val="00E227FE"/>
    <w:rsid w:val="00E2335F"/>
    <w:rsid w:val="00E242C9"/>
    <w:rsid w:val="00E2614D"/>
    <w:rsid w:val="00E3054D"/>
    <w:rsid w:val="00E405EA"/>
    <w:rsid w:val="00E40612"/>
    <w:rsid w:val="00E41F1A"/>
    <w:rsid w:val="00E42019"/>
    <w:rsid w:val="00E42CC8"/>
    <w:rsid w:val="00E44C6C"/>
    <w:rsid w:val="00E50C1B"/>
    <w:rsid w:val="00E51C02"/>
    <w:rsid w:val="00E560C3"/>
    <w:rsid w:val="00E628E6"/>
    <w:rsid w:val="00E7774B"/>
    <w:rsid w:val="00E807D4"/>
    <w:rsid w:val="00E8464C"/>
    <w:rsid w:val="00E9249F"/>
    <w:rsid w:val="00E9282C"/>
    <w:rsid w:val="00EA026B"/>
    <w:rsid w:val="00EA365F"/>
    <w:rsid w:val="00EA51CC"/>
    <w:rsid w:val="00EB01DF"/>
    <w:rsid w:val="00EB0C85"/>
    <w:rsid w:val="00EB47D7"/>
    <w:rsid w:val="00EB4C73"/>
    <w:rsid w:val="00EB6A01"/>
    <w:rsid w:val="00EB7A5D"/>
    <w:rsid w:val="00EC0268"/>
    <w:rsid w:val="00EC41F6"/>
    <w:rsid w:val="00ED041E"/>
    <w:rsid w:val="00ED184E"/>
    <w:rsid w:val="00ED1E7A"/>
    <w:rsid w:val="00ED64D4"/>
    <w:rsid w:val="00EE0E4A"/>
    <w:rsid w:val="00EE2B5A"/>
    <w:rsid w:val="00EE2D04"/>
    <w:rsid w:val="00EE4A91"/>
    <w:rsid w:val="00EF0358"/>
    <w:rsid w:val="00EF13DD"/>
    <w:rsid w:val="00EF1CD9"/>
    <w:rsid w:val="00EF4E17"/>
    <w:rsid w:val="00F00A90"/>
    <w:rsid w:val="00F01D56"/>
    <w:rsid w:val="00F0372F"/>
    <w:rsid w:val="00F04515"/>
    <w:rsid w:val="00F04726"/>
    <w:rsid w:val="00F05F51"/>
    <w:rsid w:val="00F13938"/>
    <w:rsid w:val="00F145EF"/>
    <w:rsid w:val="00F21C0F"/>
    <w:rsid w:val="00F25F52"/>
    <w:rsid w:val="00F30232"/>
    <w:rsid w:val="00F463E9"/>
    <w:rsid w:val="00F5024E"/>
    <w:rsid w:val="00F54C7D"/>
    <w:rsid w:val="00F56BB3"/>
    <w:rsid w:val="00F61F45"/>
    <w:rsid w:val="00F662CA"/>
    <w:rsid w:val="00F6656D"/>
    <w:rsid w:val="00F725F5"/>
    <w:rsid w:val="00F82074"/>
    <w:rsid w:val="00F83331"/>
    <w:rsid w:val="00F84057"/>
    <w:rsid w:val="00F86F93"/>
    <w:rsid w:val="00F87EE4"/>
    <w:rsid w:val="00F90730"/>
    <w:rsid w:val="00F912E8"/>
    <w:rsid w:val="00F94F6E"/>
    <w:rsid w:val="00F96E78"/>
    <w:rsid w:val="00F971B7"/>
    <w:rsid w:val="00FA56E3"/>
    <w:rsid w:val="00FA7782"/>
    <w:rsid w:val="00FC05B9"/>
    <w:rsid w:val="00FC656E"/>
    <w:rsid w:val="00FD0563"/>
    <w:rsid w:val="00FD08EC"/>
    <w:rsid w:val="00FD2329"/>
    <w:rsid w:val="00FD57F0"/>
    <w:rsid w:val="00FD6FFC"/>
    <w:rsid w:val="00FE3222"/>
    <w:rsid w:val="00FE7F1B"/>
    <w:rsid w:val="00FF4E4A"/>
    <w:rsid w:val="00FF6208"/>
    <w:rsid w:val="00FF7014"/>
    <w:rsid w:val="00FF72FC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1EE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B44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4E5C4A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20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0986"/>
  </w:style>
  <w:style w:type="paragraph" w:styleId="Header">
    <w:name w:val="header"/>
    <w:basedOn w:val="Normal"/>
    <w:rsid w:val="00C20986"/>
    <w:pPr>
      <w:tabs>
        <w:tab w:val="center" w:pos="4320"/>
        <w:tab w:val="right" w:pos="8640"/>
      </w:tabs>
    </w:pPr>
  </w:style>
  <w:style w:type="table" w:styleId="TableContemporary">
    <w:name w:val="Table Contemporary"/>
    <w:basedOn w:val="TableNormal"/>
    <w:rsid w:val="000869D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3">
    <w:name w:val="Table List 3"/>
    <w:basedOn w:val="TableNormal"/>
    <w:rsid w:val="000869D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C425E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501EE"/>
    <w:rPr>
      <w:rFonts w:ascii="Arial" w:hAnsi="Arial"/>
      <w:sz w:val="22"/>
      <w:szCs w:val="20"/>
    </w:rPr>
  </w:style>
  <w:style w:type="paragraph" w:customStyle="1" w:styleId="Style1">
    <w:name w:val="Style1"/>
    <w:basedOn w:val="Normal"/>
    <w:rsid w:val="00177E60"/>
    <w:rPr>
      <w:rFonts w:ascii="Arial" w:hAnsi="Arial" w:cs="Arial"/>
      <w:sz w:val="16"/>
      <w:szCs w:val="16"/>
    </w:rPr>
  </w:style>
  <w:style w:type="paragraph" w:customStyle="1" w:styleId="StyleArial8ptCentered">
    <w:name w:val="Style Arial 8 pt Centered"/>
    <w:basedOn w:val="Normal"/>
    <w:rsid w:val="00177E60"/>
    <w:pPr>
      <w:jc w:val="center"/>
    </w:pPr>
    <w:rPr>
      <w:rFonts w:ascii="Arial" w:hAnsi="Arial"/>
      <w:sz w:val="16"/>
      <w:szCs w:val="20"/>
    </w:rPr>
  </w:style>
  <w:style w:type="paragraph" w:customStyle="1" w:styleId="Style2">
    <w:name w:val="Style2"/>
    <w:basedOn w:val="StyleArial8ptCentered"/>
    <w:autoRedefine/>
    <w:rsid w:val="00177E60"/>
    <w:rPr>
      <w:szCs w:val="16"/>
    </w:rPr>
  </w:style>
  <w:style w:type="character" w:customStyle="1" w:styleId="Heading4Char">
    <w:name w:val="Heading 4 Char"/>
    <w:basedOn w:val="DefaultParagraphFont"/>
    <w:link w:val="Heading4"/>
    <w:rsid w:val="00CB44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rsid w:val="00CB44F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481B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BA481B"/>
    <w:rPr>
      <w:b/>
      <w:bCs/>
    </w:rPr>
  </w:style>
  <w:style w:type="paragraph" w:styleId="ListParagraph">
    <w:name w:val="List Paragraph"/>
    <w:basedOn w:val="Normal"/>
    <w:uiPriority w:val="34"/>
    <w:qFormat/>
    <w:rsid w:val="00D5701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34E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1EE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B44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4E5C4A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20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0986"/>
  </w:style>
  <w:style w:type="paragraph" w:styleId="Header">
    <w:name w:val="header"/>
    <w:basedOn w:val="Normal"/>
    <w:rsid w:val="00C20986"/>
    <w:pPr>
      <w:tabs>
        <w:tab w:val="center" w:pos="4320"/>
        <w:tab w:val="right" w:pos="8640"/>
      </w:tabs>
    </w:pPr>
  </w:style>
  <w:style w:type="table" w:styleId="TableContemporary">
    <w:name w:val="Table Contemporary"/>
    <w:basedOn w:val="TableNormal"/>
    <w:rsid w:val="000869D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3">
    <w:name w:val="Table List 3"/>
    <w:basedOn w:val="TableNormal"/>
    <w:rsid w:val="000869D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C425E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501EE"/>
    <w:rPr>
      <w:rFonts w:ascii="Arial" w:hAnsi="Arial"/>
      <w:sz w:val="22"/>
      <w:szCs w:val="20"/>
    </w:rPr>
  </w:style>
  <w:style w:type="paragraph" w:customStyle="1" w:styleId="Style1">
    <w:name w:val="Style1"/>
    <w:basedOn w:val="Normal"/>
    <w:rsid w:val="00177E60"/>
    <w:rPr>
      <w:rFonts w:ascii="Arial" w:hAnsi="Arial" w:cs="Arial"/>
      <w:sz w:val="16"/>
      <w:szCs w:val="16"/>
    </w:rPr>
  </w:style>
  <w:style w:type="paragraph" w:customStyle="1" w:styleId="StyleArial8ptCentered">
    <w:name w:val="Style Arial 8 pt Centered"/>
    <w:basedOn w:val="Normal"/>
    <w:rsid w:val="00177E60"/>
    <w:pPr>
      <w:jc w:val="center"/>
    </w:pPr>
    <w:rPr>
      <w:rFonts w:ascii="Arial" w:hAnsi="Arial"/>
      <w:sz w:val="16"/>
      <w:szCs w:val="20"/>
    </w:rPr>
  </w:style>
  <w:style w:type="paragraph" w:customStyle="1" w:styleId="Style2">
    <w:name w:val="Style2"/>
    <w:basedOn w:val="StyleArial8ptCentered"/>
    <w:autoRedefine/>
    <w:rsid w:val="00177E60"/>
    <w:rPr>
      <w:szCs w:val="16"/>
    </w:rPr>
  </w:style>
  <w:style w:type="character" w:customStyle="1" w:styleId="Heading4Char">
    <w:name w:val="Heading 4 Char"/>
    <w:basedOn w:val="DefaultParagraphFont"/>
    <w:link w:val="Heading4"/>
    <w:rsid w:val="00CB44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rsid w:val="00CB44F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481B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BA481B"/>
    <w:rPr>
      <w:b/>
      <w:bCs/>
    </w:rPr>
  </w:style>
  <w:style w:type="paragraph" w:styleId="ListParagraph">
    <w:name w:val="List Paragraph"/>
    <w:basedOn w:val="Normal"/>
    <w:uiPriority w:val="34"/>
    <w:qFormat/>
    <w:rsid w:val="00D5701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34E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blocked::mailto:nicole.taylor1@state.nm.u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roberts\Google%20Drive\NMW\Info%20for%20Nicole\Employment%20Aug%202011%20to%20Sept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roberts\Desktop\Oct%2011%20-%20WPA%20Activity%20Summary%20Da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New Job</a:t>
            </a:r>
            <a:r>
              <a:rPr lang="en-US" baseline="0"/>
              <a:t> Starts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1914260717410351E-2"/>
          <c:y val="0.17171296296296301"/>
          <c:w val="0.87041272965879268"/>
          <c:h val="0.6551345144356959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7.7669902912621408E-3"/>
                  <c:y val="-9.25925925925935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8.33333333333333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9.2242139266058339E-17"/>
                  <c:y val="1.3888888888888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Sheet1!$A$2:$A$27</c:f>
              <c:numCache>
                <c:formatCode>[$-409]mmm\-yy;@</c:formatCode>
                <c:ptCount val="26"/>
                <c:pt idx="0">
                  <c:v>40756</c:v>
                </c:pt>
                <c:pt idx="1">
                  <c:v>40787</c:v>
                </c:pt>
                <c:pt idx="2">
                  <c:v>40817</c:v>
                </c:pt>
                <c:pt idx="3">
                  <c:v>40848</c:v>
                </c:pt>
                <c:pt idx="4">
                  <c:v>40878</c:v>
                </c:pt>
                <c:pt idx="5">
                  <c:v>40909</c:v>
                </c:pt>
                <c:pt idx="6">
                  <c:v>40940</c:v>
                </c:pt>
                <c:pt idx="7">
                  <c:v>40969</c:v>
                </c:pt>
                <c:pt idx="8">
                  <c:v>41000</c:v>
                </c:pt>
                <c:pt idx="9">
                  <c:v>41030</c:v>
                </c:pt>
                <c:pt idx="10">
                  <c:v>41061</c:v>
                </c:pt>
                <c:pt idx="11">
                  <c:v>41091</c:v>
                </c:pt>
                <c:pt idx="12">
                  <c:v>41122</c:v>
                </c:pt>
                <c:pt idx="13">
                  <c:v>41153</c:v>
                </c:pt>
                <c:pt idx="14">
                  <c:v>41183</c:v>
                </c:pt>
                <c:pt idx="15">
                  <c:v>41214</c:v>
                </c:pt>
                <c:pt idx="16">
                  <c:v>41244</c:v>
                </c:pt>
                <c:pt idx="17">
                  <c:v>41287</c:v>
                </c:pt>
                <c:pt idx="18">
                  <c:v>41306</c:v>
                </c:pt>
                <c:pt idx="19">
                  <c:v>41334</c:v>
                </c:pt>
                <c:pt idx="20">
                  <c:v>41365</c:v>
                </c:pt>
                <c:pt idx="21">
                  <c:v>41395</c:v>
                </c:pt>
                <c:pt idx="22">
                  <c:v>41426</c:v>
                </c:pt>
                <c:pt idx="23">
                  <c:v>41456</c:v>
                </c:pt>
                <c:pt idx="24">
                  <c:v>41487</c:v>
                </c:pt>
                <c:pt idx="25">
                  <c:v>41518</c:v>
                </c:pt>
              </c:numCache>
            </c:numRef>
          </c:cat>
          <c:val>
            <c:numRef>
              <c:f>Sheet1!$E$2:$E$27</c:f>
              <c:numCache>
                <c:formatCode>General</c:formatCode>
                <c:ptCount val="26"/>
                <c:pt idx="0">
                  <c:v>576</c:v>
                </c:pt>
                <c:pt idx="1">
                  <c:v>505</c:v>
                </c:pt>
                <c:pt idx="2">
                  <c:v>621</c:v>
                </c:pt>
                <c:pt idx="3">
                  <c:v>589</c:v>
                </c:pt>
                <c:pt idx="4">
                  <c:v>499</c:v>
                </c:pt>
                <c:pt idx="5">
                  <c:v>784</c:v>
                </c:pt>
                <c:pt idx="6">
                  <c:v>587</c:v>
                </c:pt>
                <c:pt idx="7">
                  <c:v>676</c:v>
                </c:pt>
                <c:pt idx="8">
                  <c:v>710</c:v>
                </c:pt>
                <c:pt idx="9">
                  <c:v>824</c:v>
                </c:pt>
                <c:pt idx="10">
                  <c:v>745</c:v>
                </c:pt>
                <c:pt idx="11">
                  <c:v>702</c:v>
                </c:pt>
                <c:pt idx="12">
                  <c:v>1074</c:v>
                </c:pt>
                <c:pt idx="13">
                  <c:v>871</c:v>
                </c:pt>
                <c:pt idx="14">
                  <c:v>859</c:v>
                </c:pt>
                <c:pt idx="15">
                  <c:v>640</c:v>
                </c:pt>
                <c:pt idx="16">
                  <c:v>522</c:v>
                </c:pt>
                <c:pt idx="17">
                  <c:v>565</c:v>
                </c:pt>
                <c:pt idx="18">
                  <c:v>451</c:v>
                </c:pt>
                <c:pt idx="19">
                  <c:v>470</c:v>
                </c:pt>
                <c:pt idx="20">
                  <c:v>519</c:v>
                </c:pt>
                <c:pt idx="21">
                  <c:v>593</c:v>
                </c:pt>
                <c:pt idx="22">
                  <c:v>520</c:v>
                </c:pt>
                <c:pt idx="23">
                  <c:v>559</c:v>
                </c:pt>
                <c:pt idx="24">
                  <c:v>591</c:v>
                </c:pt>
                <c:pt idx="25">
                  <c:v>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879040"/>
        <c:axId val="81880576"/>
      </c:barChart>
      <c:dateAx>
        <c:axId val="81879040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880576"/>
        <c:crosses val="autoZero"/>
        <c:auto val="1"/>
        <c:lblOffset val="100"/>
        <c:baseTimeUnit val="days"/>
      </c:dateAx>
      <c:valAx>
        <c:axId val="81880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87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NMW Activity Placements as of</a:t>
            </a:r>
            <a:r>
              <a:rPr lang="en-US" baseline="0"/>
              <a:t> October 2013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'As of Today  TANF Summary for  '!$I$19:$I$24</c:f>
              <c:strCache>
                <c:ptCount val="6"/>
                <c:pt idx="0">
                  <c:v>Employment</c:v>
                </c:pt>
                <c:pt idx="1">
                  <c:v>Vocational Training and OJT</c:v>
                </c:pt>
                <c:pt idx="2">
                  <c:v>Work Experience and Community Services</c:v>
                </c:pt>
                <c:pt idx="3">
                  <c:v>Job Search/Job Readiness</c:v>
                </c:pt>
                <c:pt idx="4">
                  <c:v>Skills Training/Education</c:v>
                </c:pt>
                <c:pt idx="5">
                  <c:v>Other</c:v>
                </c:pt>
              </c:strCache>
            </c:strRef>
          </c:cat>
          <c:val>
            <c:numRef>
              <c:f>'As of Today  TANF Summary for  '!$L$19:$L$24</c:f>
              <c:numCache>
                <c:formatCode>0.00%</c:formatCode>
                <c:ptCount val="6"/>
                <c:pt idx="0">
                  <c:v>0.35912268016389515</c:v>
                </c:pt>
                <c:pt idx="1">
                  <c:v>0.11014702337912748</c:v>
                </c:pt>
                <c:pt idx="2">
                  <c:v>0.20679681851048451</c:v>
                </c:pt>
                <c:pt idx="3">
                  <c:v>6.9896360568811808E-2</c:v>
                </c:pt>
                <c:pt idx="4">
                  <c:v>0.11858279103398411</c:v>
                </c:pt>
                <c:pt idx="5">
                  <c:v>0.13545432634369728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03EF-8EC9-4294-82EC-5CCF64FE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1254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Assistance to Needy Families</vt:lpstr>
    </vt:vector>
  </TitlesOfParts>
  <Company>HSD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Assistance to Needy Families</dc:title>
  <dc:creator>Cathy Sisneros</dc:creator>
  <cp:lastModifiedBy>Jonni Lu Pool</cp:lastModifiedBy>
  <cp:revision>3</cp:revision>
  <cp:lastPrinted>2014-01-04T20:39:00Z</cp:lastPrinted>
  <dcterms:created xsi:type="dcterms:W3CDTF">2014-01-04T20:27:00Z</dcterms:created>
  <dcterms:modified xsi:type="dcterms:W3CDTF">2014-01-04T20:39:00Z</dcterms:modified>
</cp:coreProperties>
</file>