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99" w:rsidRDefault="005C1549" w:rsidP="009876CB">
      <w:pPr>
        <w:jc w:val="center"/>
        <w:outlineLvl w:val="0"/>
        <w:rPr>
          <w:b/>
          <w:noProof/>
          <w:sz w:val="44"/>
          <w:szCs w:val="44"/>
        </w:rPr>
      </w:pPr>
      <w:r w:rsidRPr="005C1549">
        <w:rPr>
          <w:b/>
          <w:noProof/>
          <w:sz w:val="40"/>
          <w:szCs w:val="40"/>
        </w:rPr>
        <w:drawing>
          <wp:anchor distT="36576" distB="36576" distL="36576" distR="36576" simplePos="0" relativeHeight="251659264" behindDoc="0" locked="0" layoutInCell="1" allowOverlap="1" wp14:anchorId="1E74F0A4" wp14:editId="07408D03">
            <wp:simplePos x="0" y="0"/>
            <wp:positionH relativeFrom="column">
              <wp:posOffset>-470535</wp:posOffset>
            </wp:positionH>
            <wp:positionV relativeFrom="paragraph">
              <wp:posOffset>-422909</wp:posOffset>
            </wp:positionV>
            <wp:extent cx="160020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7429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3E1EF4">
        <w:rPr>
          <w:b/>
          <w:noProof/>
          <w:sz w:val="44"/>
          <w:szCs w:val="44"/>
        </w:rPr>
        <w:t xml:space="preserve">      </w:t>
      </w:r>
    </w:p>
    <w:p w:rsidR="00F73A99" w:rsidRDefault="00F73A99" w:rsidP="009876CB">
      <w:pPr>
        <w:jc w:val="center"/>
        <w:outlineLvl w:val="0"/>
        <w:rPr>
          <w:b/>
          <w:noProof/>
          <w:sz w:val="40"/>
          <w:szCs w:val="40"/>
        </w:rPr>
      </w:pPr>
      <w:bookmarkStart w:id="0" w:name="_GoBack"/>
      <w:bookmarkEnd w:id="0"/>
    </w:p>
    <w:p w:rsidR="00F73A99" w:rsidRDefault="00CB2F10" w:rsidP="009876CB">
      <w:pPr>
        <w:jc w:val="center"/>
        <w:outlineLvl w:val="0"/>
        <w:rPr>
          <w:b/>
          <w:noProof/>
          <w:sz w:val="40"/>
          <w:szCs w:val="40"/>
        </w:rPr>
      </w:pPr>
      <w:r w:rsidRPr="005C1549">
        <w:rPr>
          <w:b/>
          <w:noProof/>
          <w:sz w:val="40"/>
          <w:szCs w:val="40"/>
        </w:rPr>
        <w:t xml:space="preserve">Supplemental Nutrition Assistance </w:t>
      </w:r>
      <w:r w:rsidR="00F73A99">
        <w:rPr>
          <w:b/>
          <w:noProof/>
          <w:sz w:val="40"/>
          <w:szCs w:val="40"/>
        </w:rPr>
        <w:t>Program</w:t>
      </w:r>
    </w:p>
    <w:p w:rsidR="00F73A99" w:rsidRDefault="00F73A99" w:rsidP="009876CB">
      <w:pPr>
        <w:jc w:val="center"/>
        <w:outlineLvl w:val="0"/>
        <w:rPr>
          <w:b/>
          <w:noProof/>
          <w:sz w:val="40"/>
          <w:szCs w:val="40"/>
        </w:rPr>
      </w:pPr>
      <w:r>
        <w:rPr>
          <w:b/>
          <w:noProof/>
          <w:sz w:val="40"/>
          <w:szCs w:val="40"/>
        </w:rPr>
        <w:t>(SNAP)</w:t>
      </w:r>
    </w:p>
    <w:p w:rsidR="00CB2F10" w:rsidRPr="005C1549" w:rsidRDefault="00CB2F10" w:rsidP="00F73A99">
      <w:pPr>
        <w:jc w:val="center"/>
        <w:outlineLvl w:val="0"/>
        <w:rPr>
          <w:b/>
          <w:sz w:val="40"/>
          <w:szCs w:val="40"/>
        </w:rPr>
      </w:pPr>
      <w:r w:rsidRPr="005C1549">
        <w:rPr>
          <w:b/>
          <w:noProof/>
          <w:sz w:val="40"/>
          <w:szCs w:val="40"/>
        </w:rPr>
        <w:t>Fact</w:t>
      </w:r>
      <w:r w:rsidRPr="005C1549">
        <w:rPr>
          <w:b/>
          <w:sz w:val="40"/>
          <w:szCs w:val="40"/>
        </w:rPr>
        <w:t xml:space="preserve"> Sheet</w:t>
      </w:r>
    </w:p>
    <w:p w:rsidR="00CB2F10" w:rsidRPr="00B00054" w:rsidRDefault="00CB2F10">
      <w:pPr>
        <w:rPr>
          <w:b/>
        </w:rPr>
      </w:pPr>
    </w:p>
    <w:p w:rsidR="00CB2F10" w:rsidRPr="005C1549" w:rsidRDefault="00CB2F10" w:rsidP="00B3105B">
      <w:pPr>
        <w:numPr>
          <w:ilvl w:val="0"/>
          <w:numId w:val="1"/>
        </w:numPr>
        <w:shd w:val="clear" w:color="auto" w:fill="FFFFFF"/>
        <w:spacing w:before="75" w:after="75"/>
        <w:ind w:right="144"/>
        <w:jc w:val="both"/>
        <w:rPr>
          <w:b/>
          <w:color w:val="333333"/>
        </w:rPr>
      </w:pPr>
      <w:r w:rsidRPr="00D644C4">
        <w:rPr>
          <w:b/>
          <w:color w:val="333333"/>
        </w:rPr>
        <w:t xml:space="preserve">What is </w:t>
      </w:r>
      <w:r w:rsidR="005C1549" w:rsidRPr="005C1549">
        <w:rPr>
          <w:b/>
          <w:sz w:val="22"/>
          <w:szCs w:val="22"/>
        </w:rPr>
        <w:t>Supplemental Nutrition Assistance Program (SNAP)</w:t>
      </w:r>
      <w:r w:rsidRPr="005C1549">
        <w:rPr>
          <w:b/>
          <w:color w:val="333333"/>
        </w:rPr>
        <w:t>?</w:t>
      </w:r>
    </w:p>
    <w:p w:rsidR="00CB2F10" w:rsidRPr="005A0A07" w:rsidRDefault="00CB2F10" w:rsidP="00F73A99">
      <w:pPr>
        <w:ind w:left="900"/>
        <w:jc w:val="both"/>
        <w:rPr>
          <w:sz w:val="22"/>
          <w:szCs w:val="22"/>
        </w:rPr>
      </w:pPr>
      <w:r w:rsidRPr="005A0A07">
        <w:rPr>
          <w:sz w:val="22"/>
          <w:szCs w:val="22"/>
        </w:rPr>
        <w:t>The Supplemental Nutrition Assistance Program (SNAP) is a federal</w:t>
      </w:r>
      <w:r w:rsidR="00F73A99">
        <w:rPr>
          <w:sz w:val="22"/>
          <w:szCs w:val="22"/>
        </w:rPr>
        <w:t>ly</w:t>
      </w:r>
      <w:r w:rsidRPr="005A0A07">
        <w:rPr>
          <w:sz w:val="22"/>
          <w:szCs w:val="22"/>
        </w:rPr>
        <w:t xml:space="preserve"> </w:t>
      </w:r>
      <w:r w:rsidR="007F3783">
        <w:rPr>
          <w:sz w:val="22"/>
          <w:szCs w:val="22"/>
        </w:rPr>
        <w:t xml:space="preserve">funded </w:t>
      </w:r>
      <w:r w:rsidRPr="005A0A07">
        <w:rPr>
          <w:sz w:val="22"/>
          <w:szCs w:val="22"/>
        </w:rPr>
        <w:t>program that is administered by the New Mexic</w:t>
      </w:r>
      <w:r w:rsidR="003C58E0" w:rsidRPr="005A0A07">
        <w:rPr>
          <w:sz w:val="22"/>
          <w:szCs w:val="22"/>
        </w:rPr>
        <w:t>o</w:t>
      </w:r>
      <w:r w:rsidRPr="005A0A07">
        <w:rPr>
          <w:sz w:val="22"/>
          <w:szCs w:val="22"/>
        </w:rPr>
        <w:t xml:space="preserve"> Human Services Department (HSD), Income Support Division (ISD).  SNAP serves as the first line of defense against hunger by helping families and single people with low or no income to buy nutritious food.  SNAP benefits are provided through an Electronic Benefit Transfer (EBT) card, similar to a bank debit card or credit card. </w:t>
      </w:r>
    </w:p>
    <w:p w:rsidR="00CB2F10" w:rsidRDefault="00CB2F10" w:rsidP="009614B2">
      <w:pPr>
        <w:ind w:left="504"/>
        <w:rPr>
          <w:b/>
        </w:rPr>
      </w:pPr>
    </w:p>
    <w:p w:rsidR="00CB2F10" w:rsidRDefault="00473C76" w:rsidP="0045584B">
      <w:pPr>
        <w:numPr>
          <w:ilvl w:val="0"/>
          <w:numId w:val="1"/>
        </w:numPr>
        <w:rPr>
          <w:b/>
        </w:rPr>
      </w:pPr>
      <w:r>
        <w:rPr>
          <w:b/>
        </w:rPr>
        <w:t xml:space="preserve">  Expenditures</w:t>
      </w:r>
    </w:p>
    <w:p w:rsidR="00CB2F10" w:rsidRDefault="00CB2F10" w:rsidP="0002453E">
      <w:pPr>
        <w:ind w:left="504"/>
        <w:rPr>
          <w:b/>
        </w:rPr>
      </w:pPr>
      <w:r w:rsidRPr="00727A24">
        <w:t xml:space="preserve"> </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3767"/>
      </w:tblGrid>
      <w:tr w:rsidR="00CB2F10" w:rsidTr="00473C76">
        <w:trPr>
          <w:trHeight w:val="305"/>
          <w:jc w:val="center"/>
        </w:trPr>
        <w:tc>
          <w:tcPr>
            <w:tcW w:w="2740" w:type="dxa"/>
            <w:shd w:val="clear" w:color="auto" w:fill="FBD4B4" w:themeFill="accent6" w:themeFillTint="66"/>
          </w:tcPr>
          <w:p w:rsidR="00CB2F10" w:rsidRPr="00D0472A" w:rsidRDefault="00CB2F10" w:rsidP="00D0472A">
            <w:pPr>
              <w:pStyle w:val="1NormalGray-80"/>
              <w:shd w:val="clear" w:color="auto" w:fill="auto"/>
              <w:tabs>
                <w:tab w:val="clear" w:pos="870"/>
                <w:tab w:val="num" w:pos="720"/>
              </w:tabs>
              <w:ind w:left="0" w:firstLine="0"/>
              <w:jc w:val="center"/>
              <w:rPr>
                <w:color w:val="auto"/>
              </w:rPr>
            </w:pPr>
            <w:r w:rsidRPr="00D0472A">
              <w:rPr>
                <w:b/>
                <w:color w:val="auto"/>
                <w:sz w:val="22"/>
                <w:szCs w:val="22"/>
              </w:rPr>
              <w:t>SFY</w:t>
            </w:r>
          </w:p>
        </w:tc>
        <w:tc>
          <w:tcPr>
            <w:tcW w:w="3767" w:type="dxa"/>
            <w:shd w:val="clear" w:color="auto" w:fill="FBD4B4" w:themeFill="accent6" w:themeFillTint="66"/>
          </w:tcPr>
          <w:p w:rsidR="00CB2F10" w:rsidRPr="00D0472A" w:rsidRDefault="00CB2F10" w:rsidP="00D0472A">
            <w:pPr>
              <w:pStyle w:val="1NormalGray-80"/>
              <w:shd w:val="clear" w:color="auto" w:fill="auto"/>
              <w:tabs>
                <w:tab w:val="clear" w:pos="870"/>
                <w:tab w:val="num" w:pos="720"/>
              </w:tabs>
              <w:ind w:left="0" w:firstLine="0"/>
              <w:jc w:val="center"/>
              <w:rPr>
                <w:color w:val="auto"/>
              </w:rPr>
            </w:pPr>
            <w:r w:rsidRPr="00D0472A">
              <w:rPr>
                <w:b/>
                <w:color w:val="auto"/>
                <w:sz w:val="22"/>
                <w:szCs w:val="22"/>
              </w:rPr>
              <w:t>Total Expenditures ($1,000’s)</w:t>
            </w:r>
          </w:p>
        </w:tc>
      </w:tr>
      <w:tr w:rsidR="001946D9" w:rsidRPr="00EB7BEA" w:rsidTr="00D0472A">
        <w:trPr>
          <w:trHeight w:val="245"/>
          <w:jc w:val="center"/>
        </w:trPr>
        <w:tc>
          <w:tcPr>
            <w:tcW w:w="2740" w:type="dxa"/>
          </w:tcPr>
          <w:p w:rsidR="001946D9" w:rsidRDefault="000A0E8A" w:rsidP="00D0472A">
            <w:pPr>
              <w:jc w:val="center"/>
              <w:rPr>
                <w:b/>
              </w:rPr>
            </w:pPr>
            <w:r>
              <w:rPr>
                <w:b/>
                <w:sz w:val="22"/>
                <w:szCs w:val="22"/>
              </w:rPr>
              <w:t xml:space="preserve">  </w:t>
            </w:r>
            <w:r w:rsidR="00E33C06">
              <w:rPr>
                <w:b/>
                <w:sz w:val="22"/>
                <w:szCs w:val="22"/>
              </w:rPr>
              <w:t>2013</w:t>
            </w:r>
            <w:r w:rsidR="00D24F3B">
              <w:rPr>
                <w:b/>
                <w:sz w:val="22"/>
                <w:szCs w:val="22"/>
              </w:rPr>
              <w:t>*</w:t>
            </w:r>
          </w:p>
        </w:tc>
        <w:tc>
          <w:tcPr>
            <w:tcW w:w="3767" w:type="dxa"/>
            <w:vAlign w:val="bottom"/>
          </w:tcPr>
          <w:p w:rsidR="001946D9" w:rsidRDefault="009A690C" w:rsidP="00F56931">
            <w:pPr>
              <w:jc w:val="center"/>
            </w:pPr>
            <w:r>
              <w:rPr>
                <w:sz w:val="22"/>
                <w:szCs w:val="22"/>
              </w:rPr>
              <w:t>$</w:t>
            </w:r>
            <w:r w:rsidR="00F56931">
              <w:rPr>
                <w:sz w:val="22"/>
                <w:szCs w:val="22"/>
              </w:rPr>
              <w:t>678,812.9</w:t>
            </w:r>
          </w:p>
        </w:tc>
      </w:tr>
      <w:tr w:rsidR="00AB1E5C" w:rsidRPr="00EB7BEA" w:rsidTr="00D0472A">
        <w:trPr>
          <w:trHeight w:val="245"/>
          <w:jc w:val="center"/>
        </w:trPr>
        <w:tc>
          <w:tcPr>
            <w:tcW w:w="2740" w:type="dxa"/>
          </w:tcPr>
          <w:p w:rsidR="00AB1E5C" w:rsidRPr="00D0472A" w:rsidRDefault="00AB1E5C" w:rsidP="00D0472A">
            <w:pPr>
              <w:jc w:val="center"/>
              <w:rPr>
                <w:b/>
              </w:rPr>
            </w:pPr>
            <w:r>
              <w:rPr>
                <w:b/>
                <w:sz w:val="22"/>
                <w:szCs w:val="22"/>
              </w:rPr>
              <w:t>2012</w:t>
            </w:r>
          </w:p>
        </w:tc>
        <w:tc>
          <w:tcPr>
            <w:tcW w:w="3767" w:type="dxa"/>
            <w:vAlign w:val="bottom"/>
          </w:tcPr>
          <w:p w:rsidR="00AB1E5C" w:rsidRPr="00D0472A" w:rsidRDefault="001946D9" w:rsidP="00BD2B15">
            <w:pPr>
              <w:jc w:val="center"/>
            </w:pPr>
            <w:r>
              <w:rPr>
                <w:sz w:val="22"/>
                <w:szCs w:val="22"/>
              </w:rPr>
              <w:t>$668,849.7</w:t>
            </w:r>
          </w:p>
        </w:tc>
      </w:tr>
      <w:tr w:rsidR="00CB2F10" w:rsidRPr="00EB7BEA" w:rsidTr="00D0472A">
        <w:trPr>
          <w:trHeight w:val="245"/>
          <w:jc w:val="center"/>
        </w:trPr>
        <w:tc>
          <w:tcPr>
            <w:tcW w:w="2740" w:type="dxa"/>
          </w:tcPr>
          <w:p w:rsidR="00CB2F10" w:rsidRPr="00D0472A" w:rsidRDefault="00CB2F10" w:rsidP="00AB1E5C">
            <w:pPr>
              <w:jc w:val="center"/>
              <w:rPr>
                <w:b/>
              </w:rPr>
            </w:pPr>
            <w:r w:rsidRPr="00D0472A">
              <w:rPr>
                <w:b/>
                <w:sz w:val="22"/>
                <w:szCs w:val="22"/>
              </w:rPr>
              <w:t xml:space="preserve">2011 </w:t>
            </w:r>
          </w:p>
        </w:tc>
        <w:tc>
          <w:tcPr>
            <w:tcW w:w="3767" w:type="dxa"/>
            <w:vAlign w:val="bottom"/>
          </w:tcPr>
          <w:p w:rsidR="00CB2F10" w:rsidRPr="00D0472A" w:rsidRDefault="00CB2F10" w:rsidP="00AB1E5C">
            <w:pPr>
              <w:jc w:val="center"/>
            </w:pPr>
            <w:r w:rsidRPr="00D0472A">
              <w:rPr>
                <w:sz w:val="22"/>
                <w:szCs w:val="22"/>
              </w:rPr>
              <w:t>$</w:t>
            </w:r>
            <w:r w:rsidR="00AB1E5C">
              <w:rPr>
                <w:sz w:val="22"/>
                <w:szCs w:val="22"/>
              </w:rPr>
              <w:t>614,309.4</w:t>
            </w:r>
          </w:p>
        </w:tc>
      </w:tr>
      <w:tr w:rsidR="00CB2F10" w:rsidRPr="00EB7BEA" w:rsidTr="00D0472A">
        <w:trPr>
          <w:trHeight w:val="245"/>
          <w:jc w:val="center"/>
        </w:trPr>
        <w:tc>
          <w:tcPr>
            <w:tcW w:w="2740" w:type="dxa"/>
          </w:tcPr>
          <w:p w:rsidR="00CB2F10" w:rsidRPr="00D0472A" w:rsidRDefault="00CB2F10" w:rsidP="00D0472A">
            <w:pPr>
              <w:jc w:val="center"/>
              <w:rPr>
                <w:b/>
              </w:rPr>
            </w:pPr>
            <w:r w:rsidRPr="00D0472A">
              <w:rPr>
                <w:b/>
                <w:sz w:val="22"/>
                <w:szCs w:val="22"/>
              </w:rPr>
              <w:t xml:space="preserve">2010 </w:t>
            </w:r>
          </w:p>
        </w:tc>
        <w:tc>
          <w:tcPr>
            <w:tcW w:w="3767" w:type="dxa"/>
            <w:vAlign w:val="bottom"/>
          </w:tcPr>
          <w:p w:rsidR="00CB2F10" w:rsidRPr="00D0472A" w:rsidRDefault="00CB2F10" w:rsidP="00D0472A">
            <w:pPr>
              <w:jc w:val="center"/>
            </w:pPr>
            <w:r w:rsidRPr="00D0472A">
              <w:rPr>
                <w:sz w:val="22"/>
                <w:szCs w:val="22"/>
              </w:rPr>
              <w:t>$517,391.2</w:t>
            </w:r>
          </w:p>
        </w:tc>
      </w:tr>
      <w:tr w:rsidR="00CB2F10" w:rsidRPr="00EB7BEA" w:rsidTr="00D0472A">
        <w:trPr>
          <w:trHeight w:val="245"/>
          <w:jc w:val="center"/>
        </w:trPr>
        <w:tc>
          <w:tcPr>
            <w:tcW w:w="2740" w:type="dxa"/>
          </w:tcPr>
          <w:p w:rsidR="00CB2F10" w:rsidRPr="00D0472A" w:rsidRDefault="00CB2F10" w:rsidP="00D0472A">
            <w:pPr>
              <w:jc w:val="center"/>
              <w:rPr>
                <w:b/>
              </w:rPr>
            </w:pPr>
            <w:r w:rsidRPr="00D0472A">
              <w:rPr>
                <w:b/>
                <w:sz w:val="22"/>
                <w:szCs w:val="22"/>
              </w:rPr>
              <w:t>2009</w:t>
            </w:r>
          </w:p>
        </w:tc>
        <w:tc>
          <w:tcPr>
            <w:tcW w:w="3767" w:type="dxa"/>
            <w:vAlign w:val="bottom"/>
          </w:tcPr>
          <w:p w:rsidR="00CB2F10" w:rsidRPr="00D0472A" w:rsidRDefault="00CB2F10" w:rsidP="00D0472A">
            <w:pPr>
              <w:jc w:val="center"/>
            </w:pPr>
            <w:r w:rsidRPr="00D0472A">
              <w:rPr>
                <w:sz w:val="22"/>
                <w:szCs w:val="22"/>
              </w:rPr>
              <w:t>$359,088.8</w:t>
            </w:r>
          </w:p>
        </w:tc>
      </w:tr>
      <w:tr w:rsidR="00CB2F10" w:rsidRPr="00EB7BEA" w:rsidTr="00D0472A">
        <w:trPr>
          <w:trHeight w:val="230"/>
          <w:jc w:val="center"/>
        </w:trPr>
        <w:tc>
          <w:tcPr>
            <w:tcW w:w="2740" w:type="dxa"/>
          </w:tcPr>
          <w:p w:rsidR="00CB2F10" w:rsidRPr="00D0472A" w:rsidRDefault="00CB2F10" w:rsidP="00D0472A">
            <w:pPr>
              <w:jc w:val="center"/>
              <w:rPr>
                <w:b/>
              </w:rPr>
            </w:pPr>
            <w:r w:rsidRPr="00D0472A">
              <w:rPr>
                <w:b/>
                <w:sz w:val="22"/>
                <w:szCs w:val="22"/>
              </w:rPr>
              <w:t>2008</w:t>
            </w:r>
          </w:p>
        </w:tc>
        <w:tc>
          <w:tcPr>
            <w:tcW w:w="3767" w:type="dxa"/>
          </w:tcPr>
          <w:p w:rsidR="00CB2F10" w:rsidRPr="00D0472A" w:rsidRDefault="00CB2F10" w:rsidP="00D0472A">
            <w:pPr>
              <w:jc w:val="center"/>
            </w:pPr>
            <w:r w:rsidRPr="00D0472A">
              <w:rPr>
                <w:sz w:val="22"/>
                <w:szCs w:val="22"/>
              </w:rPr>
              <w:t>$260,252.6</w:t>
            </w:r>
          </w:p>
        </w:tc>
      </w:tr>
    </w:tbl>
    <w:p w:rsidR="00CB2F10" w:rsidRPr="005A0A07" w:rsidRDefault="00CB2F10" w:rsidP="0045584B">
      <w:pPr>
        <w:rPr>
          <w:sz w:val="16"/>
          <w:szCs w:val="16"/>
        </w:rPr>
      </w:pPr>
      <w:r>
        <w:rPr>
          <w:b/>
        </w:rPr>
        <w:tab/>
      </w:r>
      <w:r>
        <w:rPr>
          <w:b/>
        </w:rPr>
        <w:tab/>
      </w:r>
      <w:r w:rsidR="005A0A07">
        <w:rPr>
          <w:b/>
          <w:sz w:val="22"/>
          <w:szCs w:val="22"/>
        </w:rPr>
        <w:t xml:space="preserve">  </w:t>
      </w:r>
      <w:r w:rsidRPr="005A0A07">
        <w:rPr>
          <w:sz w:val="16"/>
          <w:szCs w:val="16"/>
        </w:rPr>
        <w:t xml:space="preserve">*As of </w:t>
      </w:r>
      <w:r w:rsidR="00F56931">
        <w:rPr>
          <w:sz w:val="16"/>
          <w:szCs w:val="16"/>
        </w:rPr>
        <w:t>August</w:t>
      </w:r>
      <w:r w:rsidR="001946D9">
        <w:rPr>
          <w:sz w:val="16"/>
          <w:szCs w:val="16"/>
        </w:rPr>
        <w:t xml:space="preserve"> </w:t>
      </w:r>
      <w:r w:rsidR="00E33C06">
        <w:rPr>
          <w:sz w:val="16"/>
          <w:szCs w:val="16"/>
        </w:rPr>
        <w:t>2013</w:t>
      </w:r>
    </w:p>
    <w:p w:rsidR="00CB2F10" w:rsidRDefault="00CB2F10" w:rsidP="0045584B">
      <w:pPr>
        <w:rPr>
          <w:b/>
        </w:rPr>
      </w:pPr>
    </w:p>
    <w:p w:rsidR="00CB2F10" w:rsidRDefault="00CB2F10" w:rsidP="004A507F">
      <w:pPr>
        <w:numPr>
          <w:ilvl w:val="0"/>
          <w:numId w:val="1"/>
        </w:numPr>
        <w:rPr>
          <w:b/>
        </w:rPr>
      </w:pPr>
      <w:r w:rsidRPr="00B00054">
        <w:rPr>
          <w:b/>
        </w:rPr>
        <w:t xml:space="preserve">Program </w:t>
      </w:r>
      <w:r>
        <w:rPr>
          <w:b/>
        </w:rPr>
        <w:t>P</w:t>
      </w:r>
      <w:r w:rsidRPr="00B00054">
        <w:rPr>
          <w:b/>
        </w:rPr>
        <w:t>articipants</w:t>
      </w:r>
      <w:r w:rsidR="00473C76">
        <w:rPr>
          <w:b/>
        </w:rPr>
        <w:t xml:space="preserve"> and Performance Outcomes</w:t>
      </w:r>
    </w:p>
    <w:p w:rsidR="004A507F" w:rsidRDefault="004A507F" w:rsidP="004A507F">
      <w:pPr>
        <w:pStyle w:val="1NormalGray-80"/>
        <w:tabs>
          <w:tab w:val="clear" w:pos="870"/>
        </w:tabs>
        <w:spacing w:before="0" w:after="0"/>
        <w:ind w:left="504" w:firstLine="0"/>
        <w:jc w:val="left"/>
        <w:rPr>
          <w:color w:val="auto"/>
          <w:sz w:val="22"/>
          <w:szCs w:val="22"/>
        </w:rPr>
      </w:pPr>
    </w:p>
    <w:p w:rsidR="00CB2F10" w:rsidRPr="00473C76" w:rsidRDefault="00CB2F10" w:rsidP="004A507F">
      <w:pPr>
        <w:pStyle w:val="1NormalGray-80"/>
        <w:tabs>
          <w:tab w:val="clear" w:pos="870"/>
        </w:tabs>
        <w:spacing w:before="0" w:after="0"/>
        <w:ind w:left="504" w:firstLine="0"/>
        <w:jc w:val="left"/>
        <w:rPr>
          <w:color w:val="auto"/>
          <w:sz w:val="22"/>
          <w:szCs w:val="22"/>
        </w:rPr>
      </w:pPr>
      <w:r w:rsidRPr="00473C76">
        <w:rPr>
          <w:color w:val="auto"/>
          <w:sz w:val="22"/>
          <w:szCs w:val="22"/>
        </w:rPr>
        <w:t xml:space="preserve">Nearly 1 out of 5 New Mexicans </w:t>
      </w:r>
      <w:r w:rsidR="00F73A99">
        <w:rPr>
          <w:color w:val="auto"/>
          <w:sz w:val="22"/>
          <w:szCs w:val="22"/>
        </w:rPr>
        <w:t>receive</w:t>
      </w:r>
      <w:r w:rsidRPr="00473C76">
        <w:rPr>
          <w:color w:val="auto"/>
          <w:sz w:val="22"/>
          <w:szCs w:val="22"/>
        </w:rPr>
        <w:t xml:space="preserve"> SNAP</w:t>
      </w:r>
      <w:r w:rsidR="00F73A99">
        <w:rPr>
          <w:color w:val="auto"/>
          <w:sz w:val="22"/>
          <w:szCs w:val="22"/>
        </w:rPr>
        <w:t xml:space="preserve"> benefits</w:t>
      </w:r>
      <w:r w:rsidR="00473C76" w:rsidRPr="00473C76">
        <w:rPr>
          <w:color w:val="auto"/>
          <w:sz w:val="22"/>
          <w:szCs w:val="22"/>
        </w:rPr>
        <w:t>.</w:t>
      </w:r>
      <w:r w:rsidRPr="00473C76">
        <w:rPr>
          <w:color w:val="auto"/>
          <w:sz w:val="22"/>
          <w:szCs w:val="22"/>
        </w:rPr>
        <w:t xml:space="preserve"> </w:t>
      </w:r>
    </w:p>
    <w:p w:rsidR="00BD2B15" w:rsidRDefault="00BD2B15" w:rsidP="00E16075">
      <w:pPr>
        <w:pStyle w:val="1NormalGray-80"/>
        <w:tabs>
          <w:tab w:val="clear" w:pos="870"/>
        </w:tabs>
        <w:ind w:left="504" w:firstLine="0"/>
        <w:jc w:val="left"/>
        <w:rPr>
          <w:color w:val="auto"/>
        </w:rPr>
      </w:pPr>
    </w:p>
    <w:tbl>
      <w:tblPr>
        <w:tblW w:w="0" w:type="auto"/>
        <w:tblInd w:w="82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1620"/>
        <w:gridCol w:w="1264"/>
        <w:gridCol w:w="1955"/>
        <w:gridCol w:w="1821"/>
        <w:gridCol w:w="1639"/>
      </w:tblGrid>
      <w:tr w:rsidR="00BD2B15" w:rsidRPr="003350DA" w:rsidTr="00473C76">
        <w:trPr>
          <w:trHeight w:val="328"/>
        </w:trPr>
        <w:tc>
          <w:tcPr>
            <w:tcW w:w="8299" w:type="dxa"/>
            <w:gridSpan w:val="5"/>
            <w:tcBorders>
              <w:top w:val="single" w:sz="12" w:space="0" w:color="000000"/>
              <w:bottom w:val="single" w:sz="12" w:space="0" w:color="000000"/>
            </w:tcBorders>
            <w:shd w:val="clear" w:color="auto" w:fill="FBD4B4" w:themeFill="accent6" w:themeFillTint="66"/>
          </w:tcPr>
          <w:p w:rsidR="00BD2B15" w:rsidRPr="003C2E0D" w:rsidRDefault="00BD2B15" w:rsidP="00D55A06">
            <w:pPr>
              <w:jc w:val="center"/>
              <w:rPr>
                <w:b/>
                <w:bCs/>
              </w:rPr>
            </w:pPr>
            <w:r>
              <w:rPr>
                <w:b/>
                <w:bCs/>
                <w:sz w:val="22"/>
                <w:szCs w:val="22"/>
              </w:rPr>
              <w:t xml:space="preserve">Monthly Averages </w:t>
            </w:r>
            <w:r w:rsidR="00D55A06">
              <w:rPr>
                <w:b/>
                <w:bCs/>
                <w:sz w:val="22"/>
                <w:szCs w:val="22"/>
              </w:rPr>
              <w:t>by</w:t>
            </w:r>
            <w:r>
              <w:rPr>
                <w:b/>
                <w:bCs/>
                <w:sz w:val="22"/>
                <w:szCs w:val="22"/>
              </w:rPr>
              <w:t xml:space="preserve"> State Fiscal Year</w:t>
            </w:r>
          </w:p>
        </w:tc>
      </w:tr>
      <w:tr w:rsidR="00CB2F10" w:rsidRPr="003350DA" w:rsidTr="00473C76">
        <w:trPr>
          <w:trHeight w:val="328"/>
        </w:trPr>
        <w:tc>
          <w:tcPr>
            <w:tcW w:w="1620" w:type="dxa"/>
            <w:tcBorders>
              <w:top w:val="single" w:sz="12" w:space="0" w:color="000000"/>
              <w:bottom w:val="single" w:sz="12" w:space="0" w:color="000000"/>
            </w:tcBorders>
            <w:shd w:val="clear" w:color="auto" w:fill="FBD4B4" w:themeFill="accent6" w:themeFillTint="66"/>
          </w:tcPr>
          <w:p w:rsidR="00CB2F10" w:rsidRPr="003C2E0D" w:rsidRDefault="00CB2F10" w:rsidP="00DA2420">
            <w:pPr>
              <w:jc w:val="center"/>
              <w:rPr>
                <w:b/>
                <w:bCs/>
              </w:rPr>
            </w:pPr>
            <w:r w:rsidRPr="003C2E0D">
              <w:rPr>
                <w:b/>
                <w:bCs/>
                <w:sz w:val="22"/>
                <w:szCs w:val="22"/>
              </w:rPr>
              <w:t>SFY</w:t>
            </w:r>
          </w:p>
        </w:tc>
        <w:tc>
          <w:tcPr>
            <w:tcW w:w="1264" w:type="dxa"/>
            <w:tcBorders>
              <w:top w:val="single" w:sz="12" w:space="0" w:color="000000"/>
              <w:bottom w:val="single" w:sz="12" w:space="0" w:color="000000"/>
            </w:tcBorders>
            <w:shd w:val="clear" w:color="auto" w:fill="FBD4B4" w:themeFill="accent6" w:themeFillTint="66"/>
          </w:tcPr>
          <w:p w:rsidR="00CB2F10" w:rsidRPr="003C2E0D" w:rsidRDefault="00CB2F10" w:rsidP="00DA2420">
            <w:pPr>
              <w:jc w:val="center"/>
              <w:rPr>
                <w:b/>
                <w:bCs/>
              </w:rPr>
            </w:pPr>
            <w:r w:rsidRPr="003C2E0D">
              <w:rPr>
                <w:b/>
                <w:bCs/>
                <w:sz w:val="22"/>
                <w:szCs w:val="22"/>
              </w:rPr>
              <w:t>Caseload</w:t>
            </w:r>
          </w:p>
        </w:tc>
        <w:tc>
          <w:tcPr>
            <w:tcW w:w="1955" w:type="dxa"/>
            <w:tcBorders>
              <w:top w:val="single" w:sz="12" w:space="0" w:color="000000"/>
              <w:bottom w:val="single" w:sz="12" w:space="0" w:color="000000"/>
            </w:tcBorders>
            <w:shd w:val="clear" w:color="auto" w:fill="FBD4B4" w:themeFill="accent6" w:themeFillTint="66"/>
          </w:tcPr>
          <w:p w:rsidR="00CB2F10" w:rsidRPr="003C2E0D" w:rsidRDefault="00CB2F10" w:rsidP="00DA2420">
            <w:pPr>
              <w:jc w:val="center"/>
              <w:rPr>
                <w:b/>
                <w:bCs/>
              </w:rPr>
            </w:pPr>
            <w:r w:rsidRPr="003C2E0D">
              <w:rPr>
                <w:b/>
                <w:bCs/>
                <w:sz w:val="22"/>
                <w:szCs w:val="22"/>
              </w:rPr>
              <w:t>Participants</w:t>
            </w:r>
          </w:p>
        </w:tc>
        <w:tc>
          <w:tcPr>
            <w:tcW w:w="1821" w:type="dxa"/>
            <w:tcBorders>
              <w:top w:val="single" w:sz="12" w:space="0" w:color="000000"/>
              <w:bottom w:val="single" w:sz="12" w:space="0" w:color="000000"/>
            </w:tcBorders>
            <w:shd w:val="clear" w:color="auto" w:fill="FBD4B4" w:themeFill="accent6" w:themeFillTint="66"/>
          </w:tcPr>
          <w:p w:rsidR="00CB2F10" w:rsidRPr="003C2E0D" w:rsidRDefault="00CB2F10" w:rsidP="00DA2420">
            <w:pPr>
              <w:jc w:val="center"/>
              <w:rPr>
                <w:b/>
                <w:bCs/>
              </w:rPr>
            </w:pPr>
            <w:r w:rsidRPr="003C2E0D">
              <w:rPr>
                <w:b/>
                <w:bCs/>
                <w:sz w:val="22"/>
                <w:szCs w:val="22"/>
              </w:rPr>
              <w:t>Adults</w:t>
            </w:r>
          </w:p>
        </w:tc>
        <w:tc>
          <w:tcPr>
            <w:tcW w:w="1639" w:type="dxa"/>
            <w:tcBorders>
              <w:top w:val="single" w:sz="12" w:space="0" w:color="000000"/>
              <w:bottom w:val="single" w:sz="12" w:space="0" w:color="000000"/>
            </w:tcBorders>
            <w:shd w:val="clear" w:color="auto" w:fill="FBD4B4" w:themeFill="accent6" w:themeFillTint="66"/>
          </w:tcPr>
          <w:p w:rsidR="00CB2F10" w:rsidRPr="003C2E0D" w:rsidRDefault="00CB2F10" w:rsidP="00DA2420">
            <w:pPr>
              <w:jc w:val="center"/>
              <w:rPr>
                <w:b/>
                <w:bCs/>
              </w:rPr>
            </w:pPr>
            <w:r w:rsidRPr="003C2E0D">
              <w:rPr>
                <w:b/>
                <w:bCs/>
                <w:sz w:val="22"/>
                <w:szCs w:val="22"/>
              </w:rPr>
              <w:t>Children</w:t>
            </w:r>
          </w:p>
        </w:tc>
      </w:tr>
      <w:tr w:rsidR="002E25F0" w:rsidTr="008C6D51">
        <w:trPr>
          <w:trHeight w:val="311"/>
        </w:trPr>
        <w:tc>
          <w:tcPr>
            <w:tcW w:w="1620" w:type="dxa"/>
          </w:tcPr>
          <w:p w:rsidR="002E25F0" w:rsidRPr="00F56931" w:rsidRDefault="002E25F0" w:rsidP="00036E55">
            <w:pPr>
              <w:rPr>
                <w:b/>
                <w:sz w:val="22"/>
                <w:szCs w:val="22"/>
              </w:rPr>
            </w:pPr>
            <w:r w:rsidRPr="00F56931">
              <w:rPr>
                <w:b/>
                <w:sz w:val="22"/>
                <w:szCs w:val="22"/>
              </w:rPr>
              <w:t>2013</w:t>
            </w:r>
          </w:p>
        </w:tc>
        <w:tc>
          <w:tcPr>
            <w:tcW w:w="1264" w:type="dxa"/>
          </w:tcPr>
          <w:p w:rsidR="002E25F0" w:rsidRPr="00F56931" w:rsidRDefault="00F56931" w:rsidP="00F73A99">
            <w:pPr>
              <w:jc w:val="center"/>
              <w:rPr>
                <w:sz w:val="22"/>
                <w:szCs w:val="22"/>
              </w:rPr>
            </w:pPr>
            <w:r w:rsidRPr="00F56931">
              <w:rPr>
                <w:sz w:val="22"/>
                <w:szCs w:val="22"/>
              </w:rPr>
              <w:t>199,316</w:t>
            </w:r>
          </w:p>
        </w:tc>
        <w:tc>
          <w:tcPr>
            <w:tcW w:w="1955" w:type="dxa"/>
          </w:tcPr>
          <w:p w:rsidR="002E25F0" w:rsidRPr="00F56931" w:rsidRDefault="00F56931" w:rsidP="00DA2420">
            <w:pPr>
              <w:jc w:val="center"/>
              <w:rPr>
                <w:sz w:val="22"/>
                <w:szCs w:val="22"/>
              </w:rPr>
            </w:pPr>
            <w:r w:rsidRPr="00F56931">
              <w:rPr>
                <w:sz w:val="22"/>
                <w:szCs w:val="22"/>
              </w:rPr>
              <w:t>442,013</w:t>
            </w:r>
          </w:p>
        </w:tc>
        <w:tc>
          <w:tcPr>
            <w:tcW w:w="1821" w:type="dxa"/>
          </w:tcPr>
          <w:p w:rsidR="002E25F0" w:rsidRPr="00F56931" w:rsidRDefault="00F56931" w:rsidP="00DA2420">
            <w:pPr>
              <w:jc w:val="center"/>
              <w:rPr>
                <w:sz w:val="22"/>
                <w:szCs w:val="22"/>
              </w:rPr>
            </w:pPr>
            <w:r w:rsidRPr="00F56931">
              <w:rPr>
                <w:sz w:val="22"/>
                <w:szCs w:val="22"/>
              </w:rPr>
              <w:t>244,182</w:t>
            </w:r>
          </w:p>
        </w:tc>
        <w:tc>
          <w:tcPr>
            <w:tcW w:w="1639" w:type="dxa"/>
          </w:tcPr>
          <w:p w:rsidR="002E25F0" w:rsidRPr="00F56931" w:rsidRDefault="00F56931" w:rsidP="00DA2420">
            <w:pPr>
              <w:jc w:val="center"/>
              <w:rPr>
                <w:sz w:val="22"/>
                <w:szCs w:val="22"/>
              </w:rPr>
            </w:pPr>
            <w:r w:rsidRPr="00F56931">
              <w:rPr>
                <w:sz w:val="22"/>
                <w:szCs w:val="22"/>
              </w:rPr>
              <w:t>197,831</w:t>
            </w:r>
          </w:p>
        </w:tc>
      </w:tr>
      <w:tr w:rsidR="00AB1E5C" w:rsidTr="008C6D51">
        <w:trPr>
          <w:trHeight w:val="311"/>
        </w:trPr>
        <w:tc>
          <w:tcPr>
            <w:tcW w:w="1620" w:type="dxa"/>
          </w:tcPr>
          <w:p w:rsidR="00AB1E5C" w:rsidRPr="003C2E0D" w:rsidRDefault="00AB1E5C" w:rsidP="00036E55">
            <w:pPr>
              <w:rPr>
                <w:b/>
              </w:rPr>
            </w:pPr>
            <w:r>
              <w:rPr>
                <w:b/>
                <w:sz w:val="22"/>
                <w:szCs w:val="22"/>
              </w:rPr>
              <w:t>2012</w:t>
            </w:r>
          </w:p>
        </w:tc>
        <w:tc>
          <w:tcPr>
            <w:tcW w:w="1264" w:type="dxa"/>
          </w:tcPr>
          <w:p w:rsidR="00AB1E5C" w:rsidRDefault="002E25F0" w:rsidP="00F73A99">
            <w:pPr>
              <w:jc w:val="center"/>
            </w:pPr>
            <w:r>
              <w:rPr>
                <w:sz w:val="22"/>
                <w:szCs w:val="22"/>
              </w:rPr>
              <w:t>191,096</w:t>
            </w:r>
          </w:p>
        </w:tc>
        <w:tc>
          <w:tcPr>
            <w:tcW w:w="1955" w:type="dxa"/>
          </w:tcPr>
          <w:p w:rsidR="00AB1E5C" w:rsidRDefault="002E25F0" w:rsidP="00DA2420">
            <w:pPr>
              <w:jc w:val="center"/>
            </w:pPr>
            <w:r>
              <w:rPr>
                <w:sz w:val="22"/>
                <w:szCs w:val="22"/>
              </w:rPr>
              <w:t>434,715</w:t>
            </w:r>
          </w:p>
        </w:tc>
        <w:tc>
          <w:tcPr>
            <w:tcW w:w="1821" w:type="dxa"/>
          </w:tcPr>
          <w:p w:rsidR="00AB1E5C" w:rsidRDefault="002E25F0" w:rsidP="00DA2420">
            <w:pPr>
              <w:jc w:val="center"/>
            </w:pPr>
            <w:r>
              <w:rPr>
                <w:sz w:val="22"/>
                <w:szCs w:val="22"/>
              </w:rPr>
              <w:t>237,084</w:t>
            </w:r>
          </w:p>
        </w:tc>
        <w:tc>
          <w:tcPr>
            <w:tcW w:w="1639" w:type="dxa"/>
          </w:tcPr>
          <w:p w:rsidR="00AB1E5C" w:rsidRDefault="002E25F0" w:rsidP="00DA2420">
            <w:pPr>
              <w:jc w:val="center"/>
            </w:pPr>
            <w:r>
              <w:rPr>
                <w:sz w:val="22"/>
                <w:szCs w:val="22"/>
              </w:rPr>
              <w:t>197,631</w:t>
            </w:r>
          </w:p>
        </w:tc>
      </w:tr>
      <w:tr w:rsidR="00CB2F10" w:rsidTr="008C6D51">
        <w:trPr>
          <w:trHeight w:val="311"/>
        </w:trPr>
        <w:tc>
          <w:tcPr>
            <w:tcW w:w="1620" w:type="dxa"/>
          </w:tcPr>
          <w:p w:rsidR="00CB2F10" w:rsidRPr="003C2E0D" w:rsidRDefault="00CB2F10" w:rsidP="00AB1E5C">
            <w:pPr>
              <w:rPr>
                <w:b/>
              </w:rPr>
            </w:pPr>
            <w:r w:rsidRPr="003C2E0D">
              <w:rPr>
                <w:b/>
                <w:sz w:val="22"/>
                <w:szCs w:val="22"/>
              </w:rPr>
              <w:t xml:space="preserve">2011 </w:t>
            </w:r>
          </w:p>
        </w:tc>
        <w:tc>
          <w:tcPr>
            <w:tcW w:w="1264" w:type="dxa"/>
          </w:tcPr>
          <w:p w:rsidR="00CB2F10" w:rsidRPr="003C2E0D" w:rsidRDefault="00AB1E5C" w:rsidP="00F73A99">
            <w:pPr>
              <w:jc w:val="center"/>
            </w:pPr>
            <w:r>
              <w:rPr>
                <w:sz w:val="22"/>
                <w:szCs w:val="22"/>
              </w:rPr>
              <w:t>172,992</w:t>
            </w:r>
          </w:p>
        </w:tc>
        <w:tc>
          <w:tcPr>
            <w:tcW w:w="1955" w:type="dxa"/>
          </w:tcPr>
          <w:p w:rsidR="00CB2F10" w:rsidRPr="003C2E0D" w:rsidRDefault="00AB1E5C" w:rsidP="00DA2420">
            <w:pPr>
              <w:jc w:val="center"/>
            </w:pPr>
            <w:r>
              <w:rPr>
                <w:sz w:val="22"/>
                <w:szCs w:val="22"/>
              </w:rPr>
              <w:t>402,696</w:t>
            </w:r>
          </w:p>
        </w:tc>
        <w:tc>
          <w:tcPr>
            <w:tcW w:w="1821" w:type="dxa"/>
          </w:tcPr>
          <w:p w:rsidR="00CB2F10" w:rsidRPr="003C2E0D" w:rsidRDefault="00AB1E5C" w:rsidP="00DA2420">
            <w:pPr>
              <w:jc w:val="center"/>
            </w:pPr>
            <w:r>
              <w:rPr>
                <w:sz w:val="22"/>
                <w:szCs w:val="22"/>
              </w:rPr>
              <w:t>214,377</w:t>
            </w:r>
          </w:p>
        </w:tc>
        <w:tc>
          <w:tcPr>
            <w:tcW w:w="1639" w:type="dxa"/>
          </w:tcPr>
          <w:p w:rsidR="00CB2F10" w:rsidRPr="003C2E0D" w:rsidRDefault="00AB1E5C" w:rsidP="00DA2420">
            <w:pPr>
              <w:jc w:val="center"/>
            </w:pPr>
            <w:r>
              <w:rPr>
                <w:sz w:val="22"/>
                <w:szCs w:val="22"/>
              </w:rPr>
              <w:t>188,319</w:t>
            </w:r>
          </w:p>
        </w:tc>
      </w:tr>
      <w:tr w:rsidR="00CB2F10" w:rsidTr="008C6D51">
        <w:trPr>
          <w:trHeight w:val="311"/>
        </w:trPr>
        <w:tc>
          <w:tcPr>
            <w:tcW w:w="1620" w:type="dxa"/>
          </w:tcPr>
          <w:p w:rsidR="00CB2F10" w:rsidRPr="003C2E0D" w:rsidRDefault="00CB2F10" w:rsidP="00036E55">
            <w:pPr>
              <w:rPr>
                <w:b/>
              </w:rPr>
            </w:pPr>
            <w:r w:rsidRPr="003C2E0D">
              <w:rPr>
                <w:b/>
                <w:sz w:val="22"/>
                <w:szCs w:val="22"/>
              </w:rPr>
              <w:t>2010</w:t>
            </w:r>
          </w:p>
        </w:tc>
        <w:tc>
          <w:tcPr>
            <w:tcW w:w="1264" w:type="dxa"/>
          </w:tcPr>
          <w:p w:rsidR="00CB2F10" w:rsidRPr="003C2E0D" w:rsidRDefault="00CB2F10" w:rsidP="00F73A99">
            <w:pPr>
              <w:jc w:val="center"/>
            </w:pPr>
            <w:r w:rsidRPr="003C2E0D">
              <w:rPr>
                <w:sz w:val="22"/>
                <w:szCs w:val="22"/>
              </w:rPr>
              <w:t>143,012</w:t>
            </w:r>
          </w:p>
        </w:tc>
        <w:tc>
          <w:tcPr>
            <w:tcW w:w="1955" w:type="dxa"/>
          </w:tcPr>
          <w:p w:rsidR="00CB2F10" w:rsidRPr="003C2E0D" w:rsidRDefault="00CB2F10" w:rsidP="00DA2420">
            <w:pPr>
              <w:jc w:val="center"/>
            </w:pPr>
            <w:r w:rsidRPr="003C2E0D">
              <w:rPr>
                <w:sz w:val="22"/>
                <w:szCs w:val="22"/>
              </w:rPr>
              <w:t>340,522</w:t>
            </w:r>
          </w:p>
        </w:tc>
        <w:tc>
          <w:tcPr>
            <w:tcW w:w="1821" w:type="dxa"/>
          </w:tcPr>
          <w:p w:rsidR="00CB2F10" w:rsidRPr="003C2E0D" w:rsidRDefault="00CB2F10" w:rsidP="00DA2420">
            <w:pPr>
              <w:jc w:val="center"/>
            </w:pPr>
            <w:r w:rsidRPr="003C2E0D">
              <w:rPr>
                <w:sz w:val="22"/>
                <w:szCs w:val="22"/>
              </w:rPr>
              <w:t>174,420</w:t>
            </w:r>
          </w:p>
        </w:tc>
        <w:tc>
          <w:tcPr>
            <w:tcW w:w="1639" w:type="dxa"/>
          </w:tcPr>
          <w:p w:rsidR="00CB2F10" w:rsidRPr="003C2E0D" w:rsidRDefault="00CB2F10" w:rsidP="00DA2420">
            <w:pPr>
              <w:jc w:val="center"/>
            </w:pPr>
            <w:r w:rsidRPr="003C2E0D">
              <w:rPr>
                <w:sz w:val="22"/>
                <w:szCs w:val="22"/>
              </w:rPr>
              <w:t>166,102</w:t>
            </w:r>
          </w:p>
        </w:tc>
      </w:tr>
      <w:tr w:rsidR="00CB2F10" w:rsidTr="008C6D51">
        <w:trPr>
          <w:trHeight w:val="328"/>
        </w:trPr>
        <w:tc>
          <w:tcPr>
            <w:tcW w:w="1620" w:type="dxa"/>
          </w:tcPr>
          <w:p w:rsidR="00CB2F10" w:rsidRPr="003C2E0D" w:rsidRDefault="00CB2F10" w:rsidP="00036E55">
            <w:pPr>
              <w:rPr>
                <w:b/>
              </w:rPr>
            </w:pPr>
            <w:r w:rsidRPr="003C2E0D">
              <w:rPr>
                <w:b/>
                <w:sz w:val="22"/>
                <w:szCs w:val="22"/>
              </w:rPr>
              <w:t>2009</w:t>
            </w:r>
          </w:p>
        </w:tc>
        <w:tc>
          <w:tcPr>
            <w:tcW w:w="1264" w:type="dxa"/>
          </w:tcPr>
          <w:p w:rsidR="00CB2F10" w:rsidRPr="003C2E0D" w:rsidRDefault="00CB2F10" w:rsidP="00F73A99">
            <w:pPr>
              <w:jc w:val="center"/>
            </w:pPr>
            <w:r w:rsidRPr="003C2E0D">
              <w:rPr>
                <w:sz w:val="22"/>
                <w:szCs w:val="22"/>
              </w:rPr>
              <w:t>111,140</w:t>
            </w:r>
          </w:p>
        </w:tc>
        <w:tc>
          <w:tcPr>
            <w:tcW w:w="1955" w:type="dxa"/>
          </w:tcPr>
          <w:p w:rsidR="00CB2F10" w:rsidRPr="003C2E0D" w:rsidRDefault="00CB2F10" w:rsidP="00DA2420">
            <w:pPr>
              <w:jc w:val="center"/>
            </w:pPr>
            <w:r w:rsidRPr="003C2E0D">
              <w:rPr>
                <w:sz w:val="22"/>
                <w:szCs w:val="22"/>
              </w:rPr>
              <w:t>273,111</w:t>
            </w:r>
          </w:p>
        </w:tc>
        <w:tc>
          <w:tcPr>
            <w:tcW w:w="1821" w:type="dxa"/>
          </w:tcPr>
          <w:p w:rsidR="00CB2F10" w:rsidRPr="003C2E0D" w:rsidRDefault="00CB2F10" w:rsidP="00DA2420">
            <w:pPr>
              <w:jc w:val="center"/>
            </w:pPr>
            <w:r w:rsidRPr="003C2E0D">
              <w:rPr>
                <w:sz w:val="22"/>
                <w:szCs w:val="22"/>
              </w:rPr>
              <w:t>135,133</w:t>
            </w:r>
          </w:p>
        </w:tc>
        <w:tc>
          <w:tcPr>
            <w:tcW w:w="1639" w:type="dxa"/>
          </w:tcPr>
          <w:p w:rsidR="00CB2F10" w:rsidRPr="003C2E0D" w:rsidRDefault="00CB2F10" w:rsidP="00DA2420">
            <w:pPr>
              <w:jc w:val="center"/>
            </w:pPr>
            <w:r w:rsidRPr="003C2E0D">
              <w:rPr>
                <w:sz w:val="22"/>
                <w:szCs w:val="22"/>
              </w:rPr>
              <w:t>137,978</w:t>
            </w:r>
          </w:p>
        </w:tc>
      </w:tr>
      <w:tr w:rsidR="00CB2F10" w:rsidTr="008C6D51">
        <w:trPr>
          <w:trHeight w:val="311"/>
        </w:trPr>
        <w:tc>
          <w:tcPr>
            <w:tcW w:w="1620" w:type="dxa"/>
          </w:tcPr>
          <w:p w:rsidR="00CB2F10" w:rsidRPr="003C2E0D" w:rsidRDefault="00CB2F10" w:rsidP="00036E55">
            <w:pPr>
              <w:rPr>
                <w:b/>
              </w:rPr>
            </w:pPr>
            <w:r w:rsidRPr="003C2E0D">
              <w:rPr>
                <w:b/>
                <w:sz w:val="22"/>
                <w:szCs w:val="22"/>
              </w:rPr>
              <w:t>2008</w:t>
            </w:r>
          </w:p>
        </w:tc>
        <w:tc>
          <w:tcPr>
            <w:tcW w:w="1264" w:type="dxa"/>
          </w:tcPr>
          <w:p w:rsidR="00CB2F10" w:rsidRPr="003C2E0D" w:rsidRDefault="00F73A99" w:rsidP="00F73A99">
            <w:pPr>
              <w:jc w:val="center"/>
            </w:pPr>
            <w:r>
              <w:rPr>
                <w:sz w:val="22"/>
                <w:szCs w:val="22"/>
              </w:rPr>
              <w:t xml:space="preserve"> </w:t>
            </w:r>
            <w:r w:rsidR="00CB2F10" w:rsidRPr="003C2E0D">
              <w:rPr>
                <w:sz w:val="22"/>
                <w:szCs w:val="22"/>
              </w:rPr>
              <w:t>93,388</w:t>
            </w:r>
          </w:p>
        </w:tc>
        <w:tc>
          <w:tcPr>
            <w:tcW w:w="1955" w:type="dxa"/>
          </w:tcPr>
          <w:p w:rsidR="00CB2F10" w:rsidRPr="003C2E0D" w:rsidRDefault="00CB2F10" w:rsidP="00DA2420">
            <w:pPr>
              <w:jc w:val="center"/>
            </w:pPr>
            <w:r w:rsidRPr="003C2E0D">
              <w:rPr>
                <w:sz w:val="22"/>
                <w:szCs w:val="22"/>
              </w:rPr>
              <w:t>235,342</w:t>
            </w:r>
          </w:p>
        </w:tc>
        <w:tc>
          <w:tcPr>
            <w:tcW w:w="1821" w:type="dxa"/>
          </w:tcPr>
          <w:p w:rsidR="00CB2F10" w:rsidRPr="003C2E0D" w:rsidRDefault="00CB2F10" w:rsidP="00DA2420">
            <w:pPr>
              <w:jc w:val="center"/>
            </w:pPr>
            <w:r w:rsidRPr="003C2E0D">
              <w:rPr>
                <w:sz w:val="22"/>
                <w:szCs w:val="22"/>
              </w:rPr>
              <w:t>114,051</w:t>
            </w:r>
          </w:p>
        </w:tc>
        <w:tc>
          <w:tcPr>
            <w:tcW w:w="1639" w:type="dxa"/>
          </w:tcPr>
          <w:p w:rsidR="00CB2F10" w:rsidRPr="003C2E0D" w:rsidRDefault="00CB2F10" w:rsidP="00DA2420">
            <w:pPr>
              <w:jc w:val="center"/>
            </w:pPr>
            <w:r w:rsidRPr="003C2E0D">
              <w:rPr>
                <w:sz w:val="22"/>
                <w:szCs w:val="22"/>
              </w:rPr>
              <w:t>121,291</w:t>
            </w:r>
          </w:p>
        </w:tc>
      </w:tr>
    </w:tbl>
    <w:p w:rsidR="00CB2F10" w:rsidRPr="00D55A06" w:rsidRDefault="00CB2F10">
      <w:pPr>
        <w:rPr>
          <w:b/>
          <w:sz w:val="16"/>
          <w:szCs w:val="16"/>
        </w:rPr>
      </w:pPr>
      <w:r>
        <w:tab/>
      </w:r>
      <w:r w:rsidRPr="00D55A06">
        <w:rPr>
          <w:b/>
          <w:sz w:val="16"/>
          <w:szCs w:val="16"/>
        </w:rPr>
        <w:t xml:space="preserve"> </w:t>
      </w:r>
    </w:p>
    <w:p w:rsidR="00D55A06" w:rsidRDefault="00D55A06">
      <w:r>
        <w:br w:type="page"/>
      </w:r>
    </w:p>
    <w:p w:rsidR="00CB2F10" w:rsidRDefault="00CB2F10"/>
    <w:p w:rsidR="00CB2F10" w:rsidRDefault="00803B72" w:rsidP="00473C76">
      <w:pPr>
        <w:pStyle w:val="2NormalBold"/>
        <w:numPr>
          <w:ilvl w:val="0"/>
          <w:numId w:val="8"/>
        </w:numPr>
        <w:tabs>
          <w:tab w:val="clear" w:pos="360"/>
          <w:tab w:val="left" w:pos="1260"/>
        </w:tabs>
        <w:ind w:left="1260"/>
      </w:pPr>
      <w:r>
        <w:t>F</w:t>
      </w:r>
      <w:r w:rsidR="00CB2F10">
        <w:t>ederal Performance:</w:t>
      </w:r>
    </w:p>
    <w:p w:rsidR="00CB2F10" w:rsidRDefault="00CB2F10" w:rsidP="003C2E0D">
      <w:pPr>
        <w:pStyle w:val="2NormalBold"/>
        <w:tabs>
          <w:tab w:val="clear" w:pos="720"/>
        </w:tabs>
        <w:ind w:left="360"/>
      </w:pPr>
    </w:p>
    <w:tbl>
      <w:tblPr>
        <w:tblW w:w="7650" w:type="dxa"/>
        <w:tblInd w:w="1008" w:type="dxa"/>
        <w:tblCellMar>
          <w:left w:w="0" w:type="dxa"/>
          <w:right w:w="0" w:type="dxa"/>
        </w:tblCellMar>
        <w:tblLook w:val="0000" w:firstRow="0" w:lastRow="0" w:firstColumn="0" w:lastColumn="0" w:noHBand="0" w:noVBand="0"/>
      </w:tblPr>
      <w:tblGrid>
        <w:gridCol w:w="4140"/>
        <w:gridCol w:w="1620"/>
        <w:gridCol w:w="1890"/>
      </w:tblGrid>
      <w:tr w:rsidR="00CB2F10" w:rsidRPr="00383720" w:rsidTr="00E026C6">
        <w:trPr>
          <w:trHeight w:val="664"/>
        </w:trPr>
        <w:tc>
          <w:tcPr>
            <w:tcW w:w="4140" w:type="dxa"/>
            <w:tcBorders>
              <w:top w:val="single" w:sz="8" w:space="0" w:color="auto"/>
              <w:left w:val="single" w:sz="8" w:space="0" w:color="auto"/>
              <w:bottom w:val="single" w:sz="8" w:space="0" w:color="auto"/>
              <w:right w:val="single" w:sz="8" w:space="0" w:color="auto"/>
            </w:tcBorders>
            <w:shd w:val="clear" w:color="auto" w:fill="FBD4B4" w:themeFill="accent6" w:themeFillTint="66"/>
            <w:tcMar>
              <w:top w:w="0" w:type="dxa"/>
              <w:left w:w="108" w:type="dxa"/>
              <w:bottom w:w="0" w:type="dxa"/>
              <w:right w:w="108" w:type="dxa"/>
            </w:tcMar>
            <w:vAlign w:val="center"/>
          </w:tcPr>
          <w:p w:rsidR="00CB2F10" w:rsidRPr="00473C76" w:rsidRDefault="00CB2F10" w:rsidP="00B55D3D">
            <w:pPr>
              <w:jc w:val="center"/>
              <w:rPr>
                <w:b/>
                <w:bCs/>
              </w:rPr>
            </w:pPr>
            <w:r w:rsidRPr="00473C76">
              <w:rPr>
                <w:b/>
                <w:bCs/>
              </w:rPr>
              <w:t>SNAP Performance</w:t>
            </w:r>
            <w:r w:rsidR="005762D8" w:rsidRPr="00473C76">
              <w:rPr>
                <w:b/>
                <w:bCs/>
              </w:rPr>
              <w:t xml:space="preserve"> </w:t>
            </w:r>
          </w:p>
        </w:tc>
        <w:tc>
          <w:tcPr>
            <w:tcW w:w="162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vAlign w:val="center"/>
          </w:tcPr>
          <w:p w:rsidR="00CB2F10" w:rsidRPr="00473C76" w:rsidRDefault="00CB2F10" w:rsidP="00E371C8">
            <w:pPr>
              <w:jc w:val="center"/>
              <w:rPr>
                <w:b/>
                <w:bCs/>
              </w:rPr>
            </w:pPr>
            <w:r w:rsidRPr="00473C76">
              <w:rPr>
                <w:b/>
                <w:bCs/>
              </w:rPr>
              <w:t>Targets</w:t>
            </w:r>
          </w:p>
        </w:tc>
        <w:tc>
          <w:tcPr>
            <w:tcW w:w="189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CB2F10" w:rsidRPr="00473C76" w:rsidRDefault="00CB2F10" w:rsidP="00E371C8">
            <w:pPr>
              <w:jc w:val="center"/>
              <w:rPr>
                <w:b/>
                <w:bCs/>
                <w:color w:val="000080"/>
              </w:rPr>
            </w:pPr>
            <w:r w:rsidRPr="00473C76">
              <w:rPr>
                <w:b/>
                <w:bCs/>
              </w:rPr>
              <w:t>State Rates</w:t>
            </w:r>
          </w:p>
          <w:p w:rsidR="00CB2F10" w:rsidRPr="00473C76" w:rsidRDefault="00CB2F10" w:rsidP="007E31AB">
            <w:pPr>
              <w:jc w:val="center"/>
              <w:rPr>
                <w:b/>
                <w:bCs/>
              </w:rPr>
            </w:pPr>
            <w:r w:rsidRPr="00473C76">
              <w:rPr>
                <w:b/>
                <w:bCs/>
              </w:rPr>
              <w:t xml:space="preserve">FFY </w:t>
            </w:r>
            <w:r w:rsidR="005762D8" w:rsidRPr="00473C76">
              <w:rPr>
                <w:b/>
                <w:bCs/>
              </w:rPr>
              <w:t>1</w:t>
            </w:r>
            <w:r w:rsidR="007E31AB">
              <w:rPr>
                <w:b/>
                <w:bCs/>
              </w:rPr>
              <w:t>3</w:t>
            </w:r>
          </w:p>
        </w:tc>
      </w:tr>
      <w:tr w:rsidR="00CB2F10" w:rsidRPr="00D55A06" w:rsidTr="00E026C6">
        <w:tc>
          <w:tcPr>
            <w:tcW w:w="414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B2F10" w:rsidRPr="00D55A06" w:rsidRDefault="00CB2F10" w:rsidP="00E371C8">
            <w:pPr>
              <w:rPr>
                <w:b/>
              </w:rPr>
            </w:pPr>
            <w:r w:rsidRPr="00D55A06">
              <w:rPr>
                <w:b/>
                <w:bCs/>
                <w:sz w:val="22"/>
                <w:szCs w:val="22"/>
              </w:rPr>
              <w:t>Payment Error Rate</w:t>
            </w:r>
          </w:p>
        </w:tc>
        <w:tc>
          <w:tcPr>
            <w:tcW w:w="162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rsidR="00CB2F10" w:rsidRPr="00D55A06" w:rsidRDefault="00CF21D5" w:rsidP="00E371C8">
            <w:pPr>
              <w:jc w:val="center"/>
              <w:rPr>
                <w:b/>
              </w:rPr>
            </w:pPr>
            <w:r>
              <w:rPr>
                <w:b/>
                <w:bCs/>
                <w:sz w:val="22"/>
                <w:szCs w:val="22"/>
              </w:rPr>
              <w:t>4</w:t>
            </w:r>
            <w:r w:rsidR="00CB2F10" w:rsidRPr="00D55A06">
              <w:rPr>
                <w:b/>
                <w:bCs/>
                <w:sz w:val="22"/>
                <w:szCs w:val="22"/>
              </w:rPr>
              <w:t>% or less</w:t>
            </w:r>
          </w:p>
        </w:tc>
        <w:tc>
          <w:tcPr>
            <w:tcW w:w="1890" w:type="dxa"/>
            <w:tcBorders>
              <w:top w:val="single" w:sz="8" w:space="0" w:color="auto"/>
              <w:left w:val="nil"/>
              <w:bottom w:val="single" w:sz="8" w:space="0" w:color="auto"/>
              <w:right w:val="single" w:sz="4" w:space="0" w:color="auto"/>
            </w:tcBorders>
          </w:tcPr>
          <w:p w:rsidR="00CB2F10" w:rsidRPr="00D55A06" w:rsidRDefault="00E026C6" w:rsidP="00E026C6">
            <w:pPr>
              <w:jc w:val="center"/>
              <w:rPr>
                <w:b/>
              </w:rPr>
            </w:pPr>
            <w:r>
              <w:rPr>
                <w:b/>
                <w:sz w:val="22"/>
                <w:szCs w:val="22"/>
              </w:rPr>
              <w:t>4.0</w:t>
            </w:r>
            <w:r w:rsidR="00CB2F10" w:rsidRPr="00D55A06">
              <w:rPr>
                <w:b/>
                <w:sz w:val="22"/>
                <w:szCs w:val="22"/>
              </w:rPr>
              <w:t>%</w:t>
            </w:r>
          </w:p>
        </w:tc>
      </w:tr>
      <w:tr w:rsidR="00CB2F10" w:rsidRPr="00D55A06" w:rsidTr="00E026C6">
        <w:tc>
          <w:tcPr>
            <w:tcW w:w="414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B2F10" w:rsidRPr="00D55A06" w:rsidRDefault="00CB2F10" w:rsidP="00E371C8">
            <w:pPr>
              <w:rPr>
                <w:b/>
              </w:rPr>
            </w:pPr>
            <w:r w:rsidRPr="00D55A06">
              <w:rPr>
                <w:b/>
                <w:bCs/>
                <w:sz w:val="22"/>
                <w:szCs w:val="22"/>
              </w:rPr>
              <w:t>Negative Invalid Error Rate</w:t>
            </w:r>
            <w:r w:rsidR="005762D8" w:rsidRPr="00D55A06">
              <w:rPr>
                <w:b/>
                <w:bCs/>
                <w:sz w:val="22"/>
                <w:szCs w:val="22"/>
              </w:rPr>
              <w:t xml:space="preserve"> </w:t>
            </w:r>
            <w:r w:rsidR="00B55D3D" w:rsidRPr="00D55A06">
              <w:rPr>
                <w:b/>
                <w:bCs/>
                <w:sz w:val="22"/>
                <w:szCs w:val="22"/>
              </w:rPr>
              <w:t>*</w:t>
            </w:r>
            <w:r w:rsidR="00D55A06" w:rsidRPr="00D55A06">
              <w:rPr>
                <w:b/>
                <w:bCs/>
                <w:sz w:val="22"/>
                <w:szCs w:val="22"/>
              </w:rPr>
              <w:t>*</w:t>
            </w:r>
          </w:p>
        </w:tc>
        <w:tc>
          <w:tcPr>
            <w:tcW w:w="162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rsidR="00CB2F10" w:rsidRPr="00D55A06" w:rsidRDefault="00E026C6" w:rsidP="00E371C8">
            <w:pPr>
              <w:jc w:val="center"/>
              <w:rPr>
                <w:b/>
              </w:rPr>
            </w:pPr>
            <w:r>
              <w:rPr>
                <w:b/>
                <w:bCs/>
                <w:sz w:val="22"/>
                <w:szCs w:val="22"/>
              </w:rPr>
              <w:t>1</w:t>
            </w:r>
            <w:r w:rsidR="00CB2F10" w:rsidRPr="00D55A06">
              <w:rPr>
                <w:b/>
                <w:bCs/>
                <w:sz w:val="22"/>
                <w:szCs w:val="22"/>
              </w:rPr>
              <w:t>% or less</w:t>
            </w:r>
          </w:p>
        </w:tc>
        <w:tc>
          <w:tcPr>
            <w:tcW w:w="1890" w:type="dxa"/>
            <w:tcBorders>
              <w:top w:val="single" w:sz="8" w:space="0" w:color="auto"/>
              <w:left w:val="nil"/>
              <w:bottom w:val="single" w:sz="8" w:space="0" w:color="auto"/>
              <w:right w:val="single" w:sz="4" w:space="0" w:color="auto"/>
            </w:tcBorders>
          </w:tcPr>
          <w:p w:rsidR="00CB2F10" w:rsidRPr="00D55A06" w:rsidRDefault="00E026C6" w:rsidP="00E026C6">
            <w:pPr>
              <w:jc w:val="center"/>
              <w:rPr>
                <w:b/>
              </w:rPr>
            </w:pPr>
            <w:r>
              <w:rPr>
                <w:b/>
                <w:sz w:val="22"/>
                <w:szCs w:val="22"/>
              </w:rPr>
              <w:t>46.19</w:t>
            </w:r>
            <w:r w:rsidR="00CB2F10" w:rsidRPr="00D55A06">
              <w:rPr>
                <w:b/>
                <w:sz w:val="22"/>
                <w:szCs w:val="22"/>
              </w:rPr>
              <w:t>%</w:t>
            </w:r>
            <w:r w:rsidR="00634726" w:rsidRPr="00D55A06">
              <w:rPr>
                <w:b/>
                <w:sz w:val="22"/>
                <w:szCs w:val="22"/>
              </w:rPr>
              <w:t>**</w:t>
            </w:r>
          </w:p>
        </w:tc>
      </w:tr>
      <w:tr w:rsidR="00CB2F10" w:rsidRPr="00E026C6" w:rsidTr="00E026C6">
        <w:tc>
          <w:tcPr>
            <w:tcW w:w="414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B2F10" w:rsidRPr="00E026C6" w:rsidRDefault="00CB2F10" w:rsidP="00E371C8">
            <w:pPr>
              <w:rPr>
                <w:b/>
              </w:rPr>
            </w:pPr>
            <w:r w:rsidRPr="00E026C6">
              <w:rPr>
                <w:b/>
                <w:bCs/>
                <w:sz w:val="22"/>
                <w:szCs w:val="22"/>
              </w:rPr>
              <w:t>Expedite Application Timeliness</w:t>
            </w:r>
            <w:r w:rsidR="005762D8" w:rsidRPr="00E026C6">
              <w:rPr>
                <w:b/>
                <w:bCs/>
                <w:sz w:val="22"/>
                <w:szCs w:val="22"/>
              </w:rPr>
              <w:t xml:space="preserve"> </w:t>
            </w:r>
          </w:p>
        </w:tc>
        <w:tc>
          <w:tcPr>
            <w:tcW w:w="162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rsidR="00CB2F10" w:rsidRPr="00E026C6" w:rsidRDefault="00E468BD" w:rsidP="000D782F">
            <w:pPr>
              <w:jc w:val="center"/>
              <w:rPr>
                <w:b/>
              </w:rPr>
            </w:pPr>
            <w:r w:rsidRPr="00E026C6">
              <w:rPr>
                <w:b/>
                <w:bCs/>
                <w:sz w:val="22"/>
                <w:szCs w:val="22"/>
              </w:rPr>
              <w:t>98</w:t>
            </w:r>
            <w:r w:rsidR="00CB2F10" w:rsidRPr="00E026C6">
              <w:rPr>
                <w:b/>
                <w:bCs/>
                <w:sz w:val="22"/>
                <w:szCs w:val="22"/>
              </w:rPr>
              <w:t>% or better</w:t>
            </w:r>
          </w:p>
        </w:tc>
        <w:tc>
          <w:tcPr>
            <w:tcW w:w="1890" w:type="dxa"/>
            <w:tcBorders>
              <w:top w:val="single" w:sz="8" w:space="0" w:color="auto"/>
              <w:left w:val="nil"/>
              <w:bottom w:val="single" w:sz="8" w:space="0" w:color="auto"/>
              <w:right w:val="single" w:sz="4" w:space="0" w:color="auto"/>
            </w:tcBorders>
          </w:tcPr>
          <w:p w:rsidR="00CB2F10" w:rsidRPr="00E026C6" w:rsidRDefault="00D55A06" w:rsidP="007E31AB">
            <w:pPr>
              <w:jc w:val="center"/>
              <w:rPr>
                <w:b/>
              </w:rPr>
            </w:pPr>
            <w:r w:rsidRPr="00E026C6">
              <w:rPr>
                <w:b/>
                <w:sz w:val="22"/>
                <w:szCs w:val="22"/>
              </w:rPr>
              <w:t>99.2</w:t>
            </w:r>
            <w:r w:rsidR="00CB2F10" w:rsidRPr="00E026C6">
              <w:rPr>
                <w:b/>
                <w:sz w:val="22"/>
                <w:szCs w:val="22"/>
              </w:rPr>
              <w:t>%</w:t>
            </w:r>
          </w:p>
        </w:tc>
      </w:tr>
      <w:tr w:rsidR="00CB2F10" w:rsidRPr="00E026C6" w:rsidTr="00E026C6">
        <w:tc>
          <w:tcPr>
            <w:tcW w:w="414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B2F10" w:rsidRPr="00E026C6" w:rsidRDefault="00CB2F10" w:rsidP="00E371C8">
            <w:pPr>
              <w:rPr>
                <w:b/>
              </w:rPr>
            </w:pPr>
            <w:r w:rsidRPr="00E026C6">
              <w:rPr>
                <w:b/>
                <w:bCs/>
                <w:sz w:val="22"/>
                <w:szCs w:val="22"/>
              </w:rPr>
              <w:t>Regular 30 Day Application Timeliness</w:t>
            </w:r>
          </w:p>
        </w:tc>
        <w:tc>
          <w:tcPr>
            <w:tcW w:w="162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rsidR="00CB2F10" w:rsidRPr="00E026C6" w:rsidRDefault="00D55A06" w:rsidP="00E371C8">
            <w:pPr>
              <w:jc w:val="center"/>
              <w:rPr>
                <w:b/>
              </w:rPr>
            </w:pPr>
            <w:r w:rsidRPr="00E026C6">
              <w:rPr>
                <w:b/>
                <w:bCs/>
                <w:sz w:val="22"/>
                <w:szCs w:val="22"/>
              </w:rPr>
              <w:t>98</w:t>
            </w:r>
            <w:r w:rsidR="00CB2F10" w:rsidRPr="00E026C6">
              <w:rPr>
                <w:b/>
                <w:bCs/>
                <w:sz w:val="22"/>
                <w:szCs w:val="22"/>
              </w:rPr>
              <w:t>% or better</w:t>
            </w:r>
          </w:p>
        </w:tc>
        <w:tc>
          <w:tcPr>
            <w:tcW w:w="1890" w:type="dxa"/>
            <w:tcBorders>
              <w:top w:val="single" w:sz="8" w:space="0" w:color="auto"/>
              <w:left w:val="nil"/>
              <w:bottom w:val="single" w:sz="8" w:space="0" w:color="auto"/>
              <w:right w:val="single" w:sz="4" w:space="0" w:color="auto"/>
            </w:tcBorders>
          </w:tcPr>
          <w:p w:rsidR="00CB2F10" w:rsidRPr="00E026C6" w:rsidRDefault="00D55A06" w:rsidP="00D55A06">
            <w:pPr>
              <w:tabs>
                <w:tab w:val="left" w:pos="990"/>
                <w:tab w:val="center" w:pos="1117"/>
              </w:tabs>
              <w:jc w:val="center"/>
              <w:rPr>
                <w:b/>
              </w:rPr>
            </w:pPr>
            <w:r w:rsidRPr="00E026C6">
              <w:rPr>
                <w:b/>
                <w:sz w:val="22"/>
                <w:szCs w:val="22"/>
              </w:rPr>
              <w:t>98.6</w:t>
            </w:r>
            <w:r w:rsidR="00CB2F10" w:rsidRPr="00E026C6">
              <w:rPr>
                <w:b/>
                <w:sz w:val="22"/>
                <w:szCs w:val="22"/>
              </w:rPr>
              <w:t>%</w:t>
            </w:r>
          </w:p>
        </w:tc>
      </w:tr>
    </w:tbl>
    <w:p w:rsidR="00612C54" w:rsidRPr="008315A5" w:rsidRDefault="00634726" w:rsidP="008315A5">
      <w:pPr>
        <w:ind w:left="864"/>
        <w:rPr>
          <w:sz w:val="16"/>
          <w:szCs w:val="16"/>
        </w:rPr>
      </w:pPr>
      <w:r w:rsidRPr="008315A5">
        <w:rPr>
          <w:sz w:val="16"/>
          <w:szCs w:val="16"/>
        </w:rPr>
        <w:t xml:space="preserve">**Negative error rate includes </w:t>
      </w:r>
      <w:r w:rsidR="00612C54" w:rsidRPr="008315A5">
        <w:rPr>
          <w:sz w:val="16"/>
          <w:szCs w:val="16"/>
        </w:rPr>
        <w:t xml:space="preserve">a new </w:t>
      </w:r>
      <w:r w:rsidRPr="008315A5">
        <w:rPr>
          <w:sz w:val="16"/>
          <w:szCs w:val="16"/>
        </w:rPr>
        <w:t xml:space="preserve">notice language </w:t>
      </w:r>
      <w:r w:rsidR="00612C54" w:rsidRPr="008315A5">
        <w:rPr>
          <w:sz w:val="16"/>
          <w:szCs w:val="16"/>
        </w:rPr>
        <w:t>requirement from FNS.  Most states are experiencing an increase in negative rate.  National average is 22.45%</w:t>
      </w:r>
    </w:p>
    <w:p w:rsidR="00612C54" w:rsidRDefault="00612C54" w:rsidP="00612C54">
      <w:pPr>
        <w:ind w:left="720"/>
      </w:pPr>
    </w:p>
    <w:p w:rsidR="00CB2F10" w:rsidRPr="00612C54" w:rsidRDefault="00CB2F10" w:rsidP="00612C54">
      <w:pPr>
        <w:pStyle w:val="ListParagraph"/>
        <w:numPr>
          <w:ilvl w:val="0"/>
          <w:numId w:val="1"/>
        </w:numPr>
        <w:rPr>
          <w:b/>
        </w:rPr>
      </w:pPr>
      <w:r w:rsidRPr="00612C54">
        <w:rPr>
          <w:b/>
        </w:rPr>
        <w:t>Participant Eligibility</w:t>
      </w:r>
    </w:p>
    <w:p w:rsidR="00CB2F10" w:rsidRDefault="00CB2F10" w:rsidP="003C2E0D">
      <w:pPr>
        <w:ind w:left="504"/>
        <w:rPr>
          <w:b/>
        </w:rPr>
      </w:pPr>
    </w:p>
    <w:p w:rsidR="00CB2F10" w:rsidRPr="002A2F96" w:rsidRDefault="00CB2F10" w:rsidP="00473C76">
      <w:pPr>
        <w:numPr>
          <w:ilvl w:val="0"/>
          <w:numId w:val="2"/>
        </w:numPr>
      </w:pPr>
      <w:r w:rsidRPr="002A2F96">
        <w:rPr>
          <w:b/>
        </w:rPr>
        <w:t>Eligibility Requirements – Federal</w:t>
      </w:r>
    </w:p>
    <w:p w:rsidR="00CB2F10" w:rsidRPr="00473C76" w:rsidRDefault="00CB2F10" w:rsidP="00473C76">
      <w:pPr>
        <w:numPr>
          <w:ilvl w:val="0"/>
          <w:numId w:val="17"/>
        </w:numPr>
        <w:tabs>
          <w:tab w:val="clear" w:pos="1080"/>
          <w:tab w:val="num" w:pos="1440"/>
        </w:tabs>
        <w:ind w:left="1440"/>
        <w:jc w:val="both"/>
        <w:rPr>
          <w:sz w:val="22"/>
          <w:szCs w:val="22"/>
        </w:rPr>
      </w:pPr>
      <w:r w:rsidRPr="00473C76">
        <w:rPr>
          <w:sz w:val="22"/>
          <w:szCs w:val="22"/>
        </w:rPr>
        <w:t>30-day processing of applications or 7-day expedite</w:t>
      </w:r>
      <w:r w:rsidR="00417C2B">
        <w:rPr>
          <w:sz w:val="22"/>
          <w:szCs w:val="22"/>
        </w:rPr>
        <w:t>,</w:t>
      </w:r>
      <w:r w:rsidRPr="00473C76">
        <w:rPr>
          <w:sz w:val="22"/>
          <w:szCs w:val="22"/>
        </w:rPr>
        <w:t xml:space="preserve"> if destitute</w:t>
      </w:r>
      <w:r w:rsidR="00473C76">
        <w:rPr>
          <w:sz w:val="22"/>
          <w:szCs w:val="22"/>
        </w:rPr>
        <w:t>.</w:t>
      </w:r>
    </w:p>
    <w:p w:rsidR="00CB2F10" w:rsidRPr="00473C76" w:rsidRDefault="00CB2F10" w:rsidP="00473C76">
      <w:pPr>
        <w:pStyle w:val="2NormalBold"/>
        <w:numPr>
          <w:ilvl w:val="0"/>
          <w:numId w:val="17"/>
        </w:numPr>
        <w:tabs>
          <w:tab w:val="clear" w:pos="1080"/>
          <w:tab w:val="num" w:pos="1440"/>
        </w:tabs>
        <w:ind w:left="1440"/>
        <w:jc w:val="both"/>
        <w:rPr>
          <w:b w:val="0"/>
          <w:sz w:val="22"/>
          <w:szCs w:val="22"/>
        </w:rPr>
      </w:pPr>
      <w:r w:rsidRPr="00473C76">
        <w:rPr>
          <w:b w:val="0"/>
          <w:sz w:val="22"/>
          <w:szCs w:val="22"/>
        </w:rPr>
        <w:t>Persons living together and purchasing and preparing meals together must be included in the same household</w:t>
      </w:r>
      <w:r w:rsidR="00473C76">
        <w:rPr>
          <w:b w:val="0"/>
          <w:sz w:val="22"/>
          <w:szCs w:val="22"/>
        </w:rPr>
        <w:t>.</w:t>
      </w:r>
    </w:p>
    <w:p w:rsidR="00CB2F10" w:rsidRPr="00473C76" w:rsidRDefault="00CB2F10" w:rsidP="00473C76">
      <w:pPr>
        <w:pStyle w:val="2NormalBold"/>
        <w:numPr>
          <w:ilvl w:val="0"/>
          <w:numId w:val="17"/>
        </w:numPr>
        <w:tabs>
          <w:tab w:val="clear" w:pos="1080"/>
          <w:tab w:val="num" w:pos="1440"/>
        </w:tabs>
        <w:ind w:left="1440"/>
        <w:jc w:val="both"/>
        <w:rPr>
          <w:b w:val="0"/>
          <w:sz w:val="22"/>
          <w:szCs w:val="22"/>
        </w:rPr>
      </w:pPr>
      <w:r w:rsidRPr="00473C76">
        <w:rPr>
          <w:b w:val="0"/>
          <w:sz w:val="22"/>
          <w:szCs w:val="22"/>
        </w:rPr>
        <w:t>Funding penalties for failing to meet timely and accurate benefit delivery standards</w:t>
      </w:r>
      <w:r w:rsidR="00473C76">
        <w:rPr>
          <w:b w:val="0"/>
          <w:sz w:val="22"/>
          <w:szCs w:val="22"/>
        </w:rPr>
        <w:t>.</w:t>
      </w:r>
    </w:p>
    <w:p w:rsidR="00CB2F10" w:rsidRPr="00BF63C2" w:rsidRDefault="00CB2F10" w:rsidP="00E16075">
      <w:pPr>
        <w:ind w:left="720"/>
        <w:rPr>
          <w:highlight w:val="yellow"/>
        </w:rPr>
      </w:pPr>
    </w:p>
    <w:p w:rsidR="00CB2F10" w:rsidRPr="005C527D" w:rsidRDefault="00CB2F10" w:rsidP="00473C76">
      <w:pPr>
        <w:numPr>
          <w:ilvl w:val="0"/>
          <w:numId w:val="4"/>
        </w:numPr>
        <w:tabs>
          <w:tab w:val="clear" w:pos="720"/>
          <w:tab w:val="num" w:pos="1080"/>
        </w:tabs>
        <w:ind w:left="1080"/>
      </w:pPr>
      <w:r w:rsidRPr="005C527D">
        <w:rPr>
          <w:b/>
        </w:rPr>
        <w:t>Eligibility Requirements – Participants</w:t>
      </w:r>
    </w:p>
    <w:p w:rsidR="00CB2F10" w:rsidRPr="00473C76" w:rsidRDefault="00CB2F10" w:rsidP="00473C76">
      <w:pPr>
        <w:numPr>
          <w:ilvl w:val="0"/>
          <w:numId w:val="18"/>
        </w:numPr>
        <w:tabs>
          <w:tab w:val="clear" w:pos="1080"/>
          <w:tab w:val="num" w:pos="1440"/>
        </w:tabs>
        <w:ind w:left="1440"/>
        <w:rPr>
          <w:sz w:val="22"/>
          <w:szCs w:val="22"/>
        </w:rPr>
      </w:pPr>
      <w:r w:rsidRPr="00473C76">
        <w:rPr>
          <w:sz w:val="22"/>
          <w:szCs w:val="22"/>
        </w:rPr>
        <w:t>Reside in New Mexico</w:t>
      </w:r>
    </w:p>
    <w:p w:rsidR="00CB2F10" w:rsidRPr="00473C76" w:rsidRDefault="00CB2F10" w:rsidP="00473C76">
      <w:pPr>
        <w:numPr>
          <w:ilvl w:val="0"/>
          <w:numId w:val="18"/>
        </w:numPr>
        <w:tabs>
          <w:tab w:val="clear" w:pos="1080"/>
          <w:tab w:val="num" w:pos="1440"/>
        </w:tabs>
        <w:ind w:left="1440"/>
        <w:rPr>
          <w:sz w:val="22"/>
          <w:szCs w:val="22"/>
        </w:rPr>
      </w:pPr>
      <w:r w:rsidRPr="00473C76">
        <w:rPr>
          <w:sz w:val="22"/>
          <w:szCs w:val="22"/>
        </w:rPr>
        <w:t>Citizenship or Qualified Legal Immigrant Status</w:t>
      </w:r>
    </w:p>
    <w:p w:rsidR="00CB2F10" w:rsidRPr="00473C76" w:rsidRDefault="00CB2F10" w:rsidP="00473C76">
      <w:pPr>
        <w:numPr>
          <w:ilvl w:val="0"/>
          <w:numId w:val="18"/>
        </w:numPr>
        <w:tabs>
          <w:tab w:val="clear" w:pos="1080"/>
          <w:tab w:val="num" w:pos="1440"/>
        </w:tabs>
        <w:ind w:left="1440"/>
        <w:rPr>
          <w:sz w:val="22"/>
          <w:szCs w:val="22"/>
        </w:rPr>
      </w:pPr>
      <w:r w:rsidRPr="00473C76">
        <w:rPr>
          <w:sz w:val="22"/>
          <w:szCs w:val="22"/>
        </w:rPr>
        <w:t>Social Security Number</w:t>
      </w:r>
    </w:p>
    <w:p w:rsidR="00CB2F10" w:rsidRPr="00473C76" w:rsidRDefault="00CB2F10" w:rsidP="00473C76">
      <w:pPr>
        <w:numPr>
          <w:ilvl w:val="0"/>
          <w:numId w:val="18"/>
        </w:numPr>
        <w:tabs>
          <w:tab w:val="clear" w:pos="1080"/>
          <w:tab w:val="num" w:pos="1440"/>
        </w:tabs>
        <w:ind w:left="1440"/>
        <w:rPr>
          <w:sz w:val="22"/>
          <w:szCs w:val="22"/>
        </w:rPr>
      </w:pPr>
      <w:r w:rsidRPr="00473C76">
        <w:rPr>
          <w:sz w:val="22"/>
          <w:szCs w:val="22"/>
        </w:rPr>
        <w:t>Resources</w:t>
      </w:r>
    </w:p>
    <w:p w:rsidR="00C419BF" w:rsidRDefault="008B07E6" w:rsidP="00473C76">
      <w:pPr>
        <w:numPr>
          <w:ilvl w:val="0"/>
          <w:numId w:val="19"/>
        </w:numPr>
        <w:tabs>
          <w:tab w:val="clear" w:pos="1080"/>
          <w:tab w:val="num" w:pos="1620"/>
        </w:tabs>
        <w:ind w:left="1620"/>
        <w:rPr>
          <w:sz w:val="22"/>
          <w:szCs w:val="22"/>
        </w:rPr>
      </w:pPr>
      <w:r>
        <w:rPr>
          <w:sz w:val="22"/>
          <w:szCs w:val="22"/>
        </w:rPr>
        <w:t xml:space="preserve">Households that are Broad Based Categorically Eligible (BBCE) or Categorically Eligible (CE) do not need to meet a resource test.  </w:t>
      </w:r>
    </w:p>
    <w:p w:rsidR="00C419BF" w:rsidRDefault="00C419BF" w:rsidP="00C419BF">
      <w:pPr>
        <w:numPr>
          <w:ilvl w:val="1"/>
          <w:numId w:val="6"/>
        </w:numPr>
        <w:tabs>
          <w:tab w:val="clear" w:pos="1440"/>
        </w:tabs>
        <w:ind w:left="1620"/>
        <w:rPr>
          <w:sz w:val="22"/>
          <w:szCs w:val="22"/>
        </w:rPr>
      </w:pPr>
      <w:r>
        <w:rPr>
          <w:sz w:val="22"/>
          <w:szCs w:val="22"/>
        </w:rPr>
        <w:t>For those households who do not meet either BBCE or CE eligibility criteria, the following resource limits apply:</w:t>
      </w:r>
      <w:r w:rsidRPr="00C419BF">
        <w:rPr>
          <w:sz w:val="22"/>
          <w:szCs w:val="22"/>
        </w:rPr>
        <w:t xml:space="preserve"> </w:t>
      </w:r>
    </w:p>
    <w:p w:rsidR="00C419BF" w:rsidRPr="00C419BF" w:rsidRDefault="0026227C" w:rsidP="00C419BF">
      <w:pPr>
        <w:numPr>
          <w:ilvl w:val="2"/>
          <w:numId w:val="6"/>
        </w:numPr>
        <w:rPr>
          <w:sz w:val="22"/>
          <w:szCs w:val="22"/>
        </w:rPr>
      </w:pPr>
      <w:r>
        <w:rPr>
          <w:sz w:val="22"/>
          <w:szCs w:val="22"/>
        </w:rPr>
        <w:t>R</w:t>
      </w:r>
      <w:r w:rsidRPr="00473C76">
        <w:rPr>
          <w:sz w:val="22"/>
          <w:szCs w:val="22"/>
        </w:rPr>
        <w:t xml:space="preserve">esources cannot exceed $2,000 per household or $3,000 for household </w:t>
      </w:r>
      <w:r>
        <w:rPr>
          <w:sz w:val="22"/>
          <w:szCs w:val="22"/>
        </w:rPr>
        <w:t>that</w:t>
      </w:r>
      <w:r w:rsidRPr="00473C76">
        <w:rPr>
          <w:sz w:val="22"/>
          <w:szCs w:val="22"/>
        </w:rPr>
        <w:t xml:space="preserve"> include</w:t>
      </w:r>
      <w:r>
        <w:rPr>
          <w:sz w:val="22"/>
          <w:szCs w:val="22"/>
        </w:rPr>
        <w:t>s</w:t>
      </w:r>
      <w:r w:rsidRPr="00473C76">
        <w:rPr>
          <w:sz w:val="22"/>
          <w:szCs w:val="22"/>
        </w:rPr>
        <w:t xml:space="preserve"> a member who is elderly or disabled.</w:t>
      </w:r>
    </w:p>
    <w:p w:rsidR="00CB2F10" w:rsidRPr="00473C76" w:rsidRDefault="00CB2F10" w:rsidP="00C419BF">
      <w:pPr>
        <w:numPr>
          <w:ilvl w:val="4"/>
          <w:numId w:val="19"/>
        </w:numPr>
        <w:tabs>
          <w:tab w:val="clear" w:pos="3600"/>
        </w:tabs>
        <w:ind w:left="2520"/>
        <w:rPr>
          <w:sz w:val="22"/>
          <w:szCs w:val="22"/>
        </w:rPr>
      </w:pPr>
      <w:r w:rsidRPr="00473C76">
        <w:rPr>
          <w:sz w:val="22"/>
          <w:szCs w:val="22"/>
        </w:rPr>
        <w:t>Certain resources are not counted:</w:t>
      </w:r>
    </w:p>
    <w:p w:rsidR="00CB2F10" w:rsidRPr="00473C76" w:rsidRDefault="00C419BF" w:rsidP="00C419BF">
      <w:pPr>
        <w:numPr>
          <w:ilvl w:val="3"/>
          <w:numId w:val="6"/>
        </w:numPr>
        <w:rPr>
          <w:sz w:val="22"/>
          <w:szCs w:val="22"/>
        </w:rPr>
      </w:pPr>
      <w:r>
        <w:rPr>
          <w:sz w:val="22"/>
          <w:szCs w:val="22"/>
        </w:rPr>
        <w:t>S</w:t>
      </w:r>
      <w:r w:rsidR="00CB2F10" w:rsidRPr="00473C76">
        <w:rPr>
          <w:sz w:val="22"/>
          <w:szCs w:val="22"/>
        </w:rPr>
        <w:t>uch as a household</w:t>
      </w:r>
      <w:r>
        <w:rPr>
          <w:sz w:val="22"/>
          <w:szCs w:val="22"/>
        </w:rPr>
        <w:t>’</w:t>
      </w:r>
      <w:r w:rsidR="00CB2F10" w:rsidRPr="00473C76">
        <w:rPr>
          <w:sz w:val="22"/>
          <w:szCs w:val="22"/>
        </w:rPr>
        <w:t>s home and lot</w:t>
      </w:r>
      <w:r>
        <w:rPr>
          <w:sz w:val="22"/>
          <w:szCs w:val="22"/>
        </w:rPr>
        <w:t>;</w:t>
      </w:r>
    </w:p>
    <w:p w:rsidR="00CB2F10" w:rsidRDefault="00C419BF" w:rsidP="00C419BF">
      <w:pPr>
        <w:numPr>
          <w:ilvl w:val="3"/>
          <w:numId w:val="6"/>
        </w:numPr>
        <w:tabs>
          <w:tab w:val="clear" w:pos="2808"/>
        </w:tabs>
        <w:ind w:left="2790" w:hanging="270"/>
        <w:rPr>
          <w:sz w:val="22"/>
          <w:szCs w:val="22"/>
        </w:rPr>
      </w:pPr>
      <w:r>
        <w:rPr>
          <w:sz w:val="22"/>
          <w:szCs w:val="22"/>
        </w:rPr>
        <w:t>R</w:t>
      </w:r>
      <w:r w:rsidR="00CB2F10" w:rsidRPr="00473C76">
        <w:rPr>
          <w:sz w:val="22"/>
          <w:szCs w:val="22"/>
        </w:rPr>
        <w:t>esources of people who receive Supple</w:t>
      </w:r>
      <w:r>
        <w:rPr>
          <w:sz w:val="22"/>
          <w:szCs w:val="22"/>
        </w:rPr>
        <w:t xml:space="preserve">mental Security Income (SSI) or </w:t>
      </w:r>
      <w:r w:rsidR="00CB2F10" w:rsidRPr="00473C76">
        <w:rPr>
          <w:sz w:val="22"/>
          <w:szCs w:val="22"/>
        </w:rPr>
        <w:t xml:space="preserve">benefits under the Temporary Assistance for Needy Families (TANF) program, </w:t>
      </w:r>
      <w:r w:rsidR="006C0732">
        <w:rPr>
          <w:sz w:val="22"/>
          <w:szCs w:val="22"/>
        </w:rPr>
        <w:t>General Assistance (GA) or are categorically eligible.</w:t>
      </w:r>
    </w:p>
    <w:p w:rsidR="00CB2F10" w:rsidRPr="005C527D" w:rsidRDefault="00CB2F10" w:rsidP="005C527D">
      <w:pPr>
        <w:ind w:left="1800"/>
      </w:pPr>
    </w:p>
    <w:tbl>
      <w:tblPr>
        <w:tblW w:w="7591" w:type="dxa"/>
        <w:jc w:val="center"/>
        <w:tblInd w:w="1620" w:type="dxa"/>
        <w:tblBorders>
          <w:top w:val="single" w:sz="4" w:space="0" w:color="auto"/>
          <w:bottom w:val="single" w:sz="4" w:space="0" w:color="auto"/>
        </w:tblBorders>
        <w:tblLayout w:type="fixed"/>
        <w:tblLook w:val="0000" w:firstRow="0" w:lastRow="0" w:firstColumn="0" w:lastColumn="0" w:noHBand="0" w:noVBand="0"/>
      </w:tblPr>
      <w:tblGrid>
        <w:gridCol w:w="1252"/>
        <w:gridCol w:w="1384"/>
        <w:gridCol w:w="1647"/>
        <w:gridCol w:w="1714"/>
        <w:gridCol w:w="1594"/>
      </w:tblGrid>
      <w:tr w:rsidR="00CB2F10" w:rsidRPr="004606CE" w:rsidTr="00D909C3">
        <w:trPr>
          <w:trHeight w:val="600"/>
          <w:jc w:val="center"/>
        </w:trPr>
        <w:tc>
          <w:tcPr>
            <w:tcW w:w="1252" w:type="dxa"/>
            <w:tcBorders>
              <w:top w:val="single" w:sz="12" w:space="0" w:color="auto"/>
              <w:bottom w:val="single" w:sz="12" w:space="0" w:color="auto"/>
            </w:tcBorders>
            <w:shd w:val="clear" w:color="auto" w:fill="FBD4B4" w:themeFill="accent6" w:themeFillTint="66"/>
            <w:vAlign w:val="center"/>
          </w:tcPr>
          <w:p w:rsidR="00CB2F10" w:rsidRPr="004606CE" w:rsidRDefault="00CB2F10" w:rsidP="00E371C8">
            <w:pPr>
              <w:jc w:val="center"/>
              <w:rPr>
                <w:b/>
              </w:rPr>
            </w:pPr>
            <w:r w:rsidRPr="004606CE">
              <w:rPr>
                <w:b/>
                <w:sz w:val="22"/>
                <w:szCs w:val="22"/>
              </w:rPr>
              <w:t>Household Size</w:t>
            </w:r>
          </w:p>
        </w:tc>
        <w:tc>
          <w:tcPr>
            <w:tcW w:w="1384" w:type="dxa"/>
            <w:tcBorders>
              <w:top w:val="single" w:sz="12" w:space="0" w:color="auto"/>
              <w:bottom w:val="single" w:sz="12" w:space="0" w:color="auto"/>
            </w:tcBorders>
            <w:shd w:val="clear" w:color="auto" w:fill="FBD4B4" w:themeFill="accent6" w:themeFillTint="66"/>
            <w:vAlign w:val="center"/>
          </w:tcPr>
          <w:p w:rsidR="00CB2F10" w:rsidRPr="004606CE" w:rsidRDefault="00CB2F10" w:rsidP="00E371C8">
            <w:pPr>
              <w:jc w:val="center"/>
              <w:rPr>
                <w:b/>
              </w:rPr>
            </w:pPr>
            <w:r w:rsidRPr="004606CE">
              <w:rPr>
                <w:b/>
                <w:sz w:val="22"/>
                <w:szCs w:val="22"/>
              </w:rPr>
              <w:t>100% FPG</w:t>
            </w:r>
          </w:p>
        </w:tc>
        <w:tc>
          <w:tcPr>
            <w:tcW w:w="1647" w:type="dxa"/>
            <w:tcBorders>
              <w:top w:val="single" w:sz="12" w:space="0" w:color="auto"/>
              <w:bottom w:val="single" w:sz="12" w:space="0" w:color="auto"/>
            </w:tcBorders>
            <w:shd w:val="clear" w:color="auto" w:fill="FBD4B4" w:themeFill="accent6" w:themeFillTint="66"/>
            <w:vAlign w:val="center"/>
          </w:tcPr>
          <w:p w:rsidR="00CB2F10" w:rsidRPr="004606CE" w:rsidRDefault="00CB2F10" w:rsidP="00E371C8">
            <w:pPr>
              <w:jc w:val="center"/>
              <w:rPr>
                <w:b/>
              </w:rPr>
            </w:pPr>
            <w:r w:rsidRPr="004606CE">
              <w:rPr>
                <w:b/>
                <w:sz w:val="22"/>
                <w:szCs w:val="22"/>
              </w:rPr>
              <w:t>130% FPG</w:t>
            </w:r>
          </w:p>
          <w:p w:rsidR="00CB2F10" w:rsidRPr="004606CE" w:rsidRDefault="00CB2F10" w:rsidP="00E371C8">
            <w:pPr>
              <w:jc w:val="center"/>
              <w:rPr>
                <w:b/>
              </w:rPr>
            </w:pPr>
            <w:r w:rsidRPr="004606CE">
              <w:rPr>
                <w:b/>
                <w:sz w:val="22"/>
                <w:szCs w:val="22"/>
              </w:rPr>
              <w:t>Gross</w:t>
            </w:r>
          </w:p>
        </w:tc>
        <w:tc>
          <w:tcPr>
            <w:tcW w:w="1714" w:type="dxa"/>
            <w:tcBorders>
              <w:top w:val="single" w:sz="12" w:space="0" w:color="auto"/>
              <w:bottom w:val="single" w:sz="12" w:space="0" w:color="auto"/>
            </w:tcBorders>
            <w:shd w:val="clear" w:color="auto" w:fill="FBD4B4" w:themeFill="accent6" w:themeFillTint="66"/>
            <w:vAlign w:val="center"/>
          </w:tcPr>
          <w:p w:rsidR="00CB2F10" w:rsidRPr="004606CE" w:rsidRDefault="00CB2F10" w:rsidP="00E371C8">
            <w:pPr>
              <w:jc w:val="center"/>
              <w:rPr>
                <w:b/>
              </w:rPr>
            </w:pPr>
            <w:r w:rsidRPr="004606CE">
              <w:rPr>
                <w:b/>
                <w:sz w:val="22"/>
                <w:szCs w:val="22"/>
              </w:rPr>
              <w:t>165% FPG</w:t>
            </w:r>
          </w:p>
          <w:p w:rsidR="00CB2F10" w:rsidRDefault="00CB2F10" w:rsidP="00E371C8">
            <w:pPr>
              <w:jc w:val="center"/>
              <w:rPr>
                <w:b/>
              </w:rPr>
            </w:pPr>
            <w:r>
              <w:rPr>
                <w:b/>
                <w:sz w:val="22"/>
                <w:szCs w:val="22"/>
              </w:rPr>
              <w:t>Categorical</w:t>
            </w:r>
          </w:p>
          <w:p w:rsidR="00CB2F10" w:rsidRPr="004606CE" w:rsidRDefault="00CB2F10" w:rsidP="00E371C8">
            <w:pPr>
              <w:jc w:val="center"/>
              <w:rPr>
                <w:b/>
              </w:rPr>
            </w:pPr>
            <w:r>
              <w:rPr>
                <w:b/>
                <w:sz w:val="22"/>
                <w:szCs w:val="22"/>
              </w:rPr>
              <w:t>Eligibility</w:t>
            </w:r>
          </w:p>
        </w:tc>
        <w:tc>
          <w:tcPr>
            <w:tcW w:w="1594" w:type="dxa"/>
            <w:tcBorders>
              <w:top w:val="single" w:sz="12" w:space="0" w:color="auto"/>
              <w:bottom w:val="single" w:sz="12" w:space="0" w:color="auto"/>
            </w:tcBorders>
            <w:shd w:val="clear" w:color="auto" w:fill="FBD4B4" w:themeFill="accent6" w:themeFillTint="66"/>
            <w:vAlign w:val="center"/>
          </w:tcPr>
          <w:p w:rsidR="00CB2F10" w:rsidRPr="004606CE" w:rsidRDefault="00CB2F10" w:rsidP="00E371C8">
            <w:pPr>
              <w:jc w:val="center"/>
              <w:rPr>
                <w:b/>
              </w:rPr>
            </w:pPr>
            <w:r w:rsidRPr="004606CE">
              <w:rPr>
                <w:b/>
                <w:sz w:val="22"/>
                <w:szCs w:val="22"/>
              </w:rPr>
              <w:t>Food Stamp Allotment</w:t>
            </w:r>
          </w:p>
          <w:p w:rsidR="00CB2F10" w:rsidRPr="004606CE" w:rsidRDefault="00CB2F10" w:rsidP="00E371C8">
            <w:pPr>
              <w:jc w:val="center"/>
              <w:rPr>
                <w:b/>
              </w:rPr>
            </w:pPr>
            <w:r w:rsidRPr="004606CE">
              <w:rPr>
                <w:b/>
                <w:sz w:val="22"/>
                <w:szCs w:val="22"/>
              </w:rPr>
              <w:t>(up to)</w:t>
            </w:r>
          </w:p>
        </w:tc>
      </w:tr>
      <w:tr w:rsidR="00CB2F10" w:rsidRPr="004606CE" w:rsidTr="00E371C8">
        <w:trPr>
          <w:trHeight w:val="236"/>
          <w:jc w:val="center"/>
        </w:trPr>
        <w:tc>
          <w:tcPr>
            <w:tcW w:w="1252" w:type="dxa"/>
            <w:tcBorders>
              <w:top w:val="single" w:sz="12" w:space="0" w:color="auto"/>
            </w:tcBorders>
          </w:tcPr>
          <w:p w:rsidR="00CB2F10" w:rsidRPr="004606CE" w:rsidRDefault="00CB2F10" w:rsidP="00E371C8">
            <w:pPr>
              <w:tabs>
                <w:tab w:val="left" w:pos="-720"/>
              </w:tabs>
              <w:suppressAutoHyphens/>
              <w:jc w:val="center"/>
            </w:pPr>
            <w:r w:rsidRPr="004606CE">
              <w:rPr>
                <w:sz w:val="22"/>
                <w:szCs w:val="22"/>
              </w:rPr>
              <w:t>1</w:t>
            </w:r>
          </w:p>
        </w:tc>
        <w:tc>
          <w:tcPr>
            <w:tcW w:w="1384" w:type="dxa"/>
            <w:tcBorders>
              <w:top w:val="single" w:sz="12" w:space="0" w:color="auto"/>
            </w:tcBorders>
          </w:tcPr>
          <w:p w:rsidR="00CB2F10" w:rsidRPr="004606CE" w:rsidRDefault="00CB2F10" w:rsidP="001262B6">
            <w:pPr>
              <w:jc w:val="center"/>
              <w:rPr>
                <w:strike/>
              </w:rPr>
            </w:pPr>
            <w:r w:rsidRPr="004606CE">
              <w:rPr>
                <w:sz w:val="22"/>
                <w:szCs w:val="22"/>
              </w:rPr>
              <w:t xml:space="preserve">$   </w:t>
            </w:r>
            <w:r w:rsidR="001262B6">
              <w:rPr>
                <w:sz w:val="22"/>
                <w:szCs w:val="22"/>
              </w:rPr>
              <w:t>9</w:t>
            </w:r>
            <w:r w:rsidR="00C419BF">
              <w:rPr>
                <w:sz w:val="22"/>
                <w:szCs w:val="22"/>
              </w:rPr>
              <w:t>58</w:t>
            </w:r>
          </w:p>
        </w:tc>
        <w:tc>
          <w:tcPr>
            <w:tcW w:w="1647" w:type="dxa"/>
            <w:tcBorders>
              <w:top w:val="single" w:sz="12" w:space="0" w:color="auto"/>
            </w:tcBorders>
          </w:tcPr>
          <w:p w:rsidR="00CB2F10" w:rsidRPr="004606CE" w:rsidRDefault="00CB2F10" w:rsidP="001262B6">
            <w:pPr>
              <w:jc w:val="center"/>
              <w:rPr>
                <w:strike/>
              </w:rPr>
            </w:pPr>
            <w:r w:rsidRPr="004606CE">
              <w:rPr>
                <w:sz w:val="22"/>
                <w:szCs w:val="22"/>
              </w:rPr>
              <w:t>$1,</w:t>
            </w:r>
            <w:r w:rsidR="001262B6">
              <w:rPr>
                <w:sz w:val="22"/>
                <w:szCs w:val="22"/>
              </w:rPr>
              <w:t>2</w:t>
            </w:r>
            <w:r w:rsidR="00C419BF">
              <w:rPr>
                <w:sz w:val="22"/>
                <w:szCs w:val="22"/>
              </w:rPr>
              <w:t>45</w:t>
            </w:r>
          </w:p>
        </w:tc>
        <w:tc>
          <w:tcPr>
            <w:tcW w:w="1714" w:type="dxa"/>
            <w:tcBorders>
              <w:top w:val="single" w:sz="12" w:space="0" w:color="auto"/>
            </w:tcBorders>
          </w:tcPr>
          <w:p w:rsidR="00CB2F10" w:rsidRPr="004606CE" w:rsidRDefault="00CB2F10" w:rsidP="001262B6">
            <w:pPr>
              <w:jc w:val="center"/>
            </w:pPr>
            <w:r w:rsidRPr="004606CE">
              <w:rPr>
                <w:sz w:val="22"/>
                <w:szCs w:val="22"/>
              </w:rPr>
              <w:t>$1,</w:t>
            </w:r>
            <w:r w:rsidR="001262B6">
              <w:rPr>
                <w:sz w:val="22"/>
                <w:szCs w:val="22"/>
              </w:rPr>
              <w:t>5</w:t>
            </w:r>
            <w:r w:rsidR="00E8086D">
              <w:rPr>
                <w:sz w:val="22"/>
                <w:szCs w:val="22"/>
              </w:rPr>
              <w:t>80</w:t>
            </w:r>
          </w:p>
        </w:tc>
        <w:tc>
          <w:tcPr>
            <w:tcW w:w="1594" w:type="dxa"/>
            <w:tcBorders>
              <w:top w:val="single" w:sz="12" w:space="0" w:color="auto"/>
            </w:tcBorders>
          </w:tcPr>
          <w:p w:rsidR="00CB2F10" w:rsidRPr="004606CE" w:rsidRDefault="00CB2F10" w:rsidP="00E371C8">
            <w:pPr>
              <w:jc w:val="center"/>
              <w:rPr>
                <w:strike/>
              </w:rPr>
            </w:pPr>
            <w:r w:rsidRPr="004606CE">
              <w:rPr>
                <w:sz w:val="22"/>
                <w:szCs w:val="22"/>
              </w:rPr>
              <w:t>$</w:t>
            </w:r>
            <w:r w:rsidR="00E8086D">
              <w:rPr>
                <w:sz w:val="22"/>
                <w:szCs w:val="22"/>
              </w:rPr>
              <w:t>189</w:t>
            </w:r>
          </w:p>
        </w:tc>
      </w:tr>
      <w:tr w:rsidR="00CB2F10" w:rsidRPr="00BF63C2" w:rsidTr="00E371C8">
        <w:trPr>
          <w:trHeight w:val="250"/>
          <w:jc w:val="center"/>
        </w:trPr>
        <w:tc>
          <w:tcPr>
            <w:tcW w:w="1252" w:type="dxa"/>
          </w:tcPr>
          <w:p w:rsidR="00CB2F10" w:rsidRPr="004606CE" w:rsidRDefault="00CB2F10" w:rsidP="00E371C8">
            <w:pPr>
              <w:tabs>
                <w:tab w:val="left" w:pos="-720"/>
              </w:tabs>
              <w:suppressAutoHyphens/>
              <w:jc w:val="center"/>
            </w:pPr>
            <w:r w:rsidRPr="004606CE">
              <w:rPr>
                <w:sz w:val="22"/>
                <w:szCs w:val="22"/>
              </w:rPr>
              <w:t>2</w:t>
            </w:r>
          </w:p>
        </w:tc>
        <w:tc>
          <w:tcPr>
            <w:tcW w:w="1384" w:type="dxa"/>
          </w:tcPr>
          <w:p w:rsidR="00CB2F10" w:rsidRPr="004606CE" w:rsidRDefault="00CB2F10" w:rsidP="00E8086D">
            <w:pPr>
              <w:jc w:val="center"/>
              <w:rPr>
                <w:strike/>
              </w:rPr>
            </w:pPr>
            <w:r w:rsidRPr="004606CE">
              <w:rPr>
                <w:sz w:val="22"/>
                <w:szCs w:val="22"/>
              </w:rPr>
              <w:t>$1</w:t>
            </w:r>
            <w:r w:rsidR="001262B6">
              <w:rPr>
                <w:sz w:val="22"/>
                <w:szCs w:val="22"/>
              </w:rPr>
              <w:t>,2</w:t>
            </w:r>
            <w:r w:rsidR="00E8086D">
              <w:rPr>
                <w:sz w:val="22"/>
                <w:szCs w:val="22"/>
              </w:rPr>
              <w:t>93</w:t>
            </w:r>
          </w:p>
        </w:tc>
        <w:tc>
          <w:tcPr>
            <w:tcW w:w="1647" w:type="dxa"/>
          </w:tcPr>
          <w:p w:rsidR="00CB2F10" w:rsidRPr="004606CE" w:rsidRDefault="00CB2F10" w:rsidP="00E8086D">
            <w:pPr>
              <w:jc w:val="center"/>
              <w:rPr>
                <w:strike/>
              </w:rPr>
            </w:pPr>
            <w:r w:rsidRPr="004606CE">
              <w:rPr>
                <w:sz w:val="22"/>
                <w:szCs w:val="22"/>
              </w:rPr>
              <w:t>$1,</w:t>
            </w:r>
            <w:r w:rsidR="001262B6">
              <w:rPr>
                <w:sz w:val="22"/>
                <w:szCs w:val="22"/>
              </w:rPr>
              <w:t>6</w:t>
            </w:r>
            <w:r w:rsidR="00E8086D">
              <w:rPr>
                <w:sz w:val="22"/>
                <w:szCs w:val="22"/>
              </w:rPr>
              <w:t>81</w:t>
            </w:r>
          </w:p>
        </w:tc>
        <w:tc>
          <w:tcPr>
            <w:tcW w:w="1714" w:type="dxa"/>
          </w:tcPr>
          <w:p w:rsidR="00CB2F10" w:rsidRPr="004606CE" w:rsidRDefault="00CB2F10" w:rsidP="00E8086D">
            <w:pPr>
              <w:jc w:val="center"/>
            </w:pPr>
            <w:r w:rsidRPr="004606CE">
              <w:rPr>
                <w:sz w:val="22"/>
                <w:szCs w:val="22"/>
              </w:rPr>
              <w:t>$2,</w:t>
            </w:r>
            <w:r w:rsidR="00E8086D">
              <w:rPr>
                <w:sz w:val="22"/>
                <w:szCs w:val="22"/>
              </w:rPr>
              <w:t>133</w:t>
            </w:r>
          </w:p>
        </w:tc>
        <w:tc>
          <w:tcPr>
            <w:tcW w:w="1594" w:type="dxa"/>
          </w:tcPr>
          <w:p w:rsidR="00CB2F10" w:rsidRPr="004606CE" w:rsidRDefault="00CB2F10" w:rsidP="00E8086D">
            <w:pPr>
              <w:jc w:val="center"/>
              <w:rPr>
                <w:strike/>
              </w:rPr>
            </w:pPr>
            <w:r w:rsidRPr="004606CE">
              <w:rPr>
                <w:sz w:val="22"/>
                <w:szCs w:val="22"/>
              </w:rPr>
              <w:t>$3</w:t>
            </w:r>
            <w:r w:rsidR="00E8086D">
              <w:rPr>
                <w:sz w:val="22"/>
                <w:szCs w:val="22"/>
              </w:rPr>
              <w:t>4</w:t>
            </w:r>
            <w:r w:rsidRPr="004606CE">
              <w:rPr>
                <w:sz w:val="22"/>
                <w:szCs w:val="22"/>
              </w:rPr>
              <w:t>7</w:t>
            </w:r>
          </w:p>
        </w:tc>
      </w:tr>
      <w:tr w:rsidR="00CB2F10" w:rsidRPr="00BF63C2" w:rsidTr="00E371C8">
        <w:trPr>
          <w:trHeight w:val="236"/>
          <w:jc w:val="center"/>
        </w:trPr>
        <w:tc>
          <w:tcPr>
            <w:tcW w:w="1252" w:type="dxa"/>
          </w:tcPr>
          <w:p w:rsidR="00CB2F10" w:rsidRPr="004606CE" w:rsidRDefault="00CB2F10" w:rsidP="00E371C8">
            <w:pPr>
              <w:tabs>
                <w:tab w:val="left" w:pos="-720"/>
              </w:tabs>
              <w:suppressAutoHyphens/>
              <w:jc w:val="center"/>
            </w:pPr>
            <w:r w:rsidRPr="004606CE">
              <w:rPr>
                <w:sz w:val="22"/>
                <w:szCs w:val="22"/>
              </w:rPr>
              <w:t>3</w:t>
            </w:r>
          </w:p>
        </w:tc>
        <w:tc>
          <w:tcPr>
            <w:tcW w:w="1384" w:type="dxa"/>
          </w:tcPr>
          <w:p w:rsidR="00CB2F10" w:rsidRPr="004606CE" w:rsidRDefault="00CB2F10" w:rsidP="00E8086D">
            <w:pPr>
              <w:jc w:val="center"/>
              <w:rPr>
                <w:strike/>
              </w:rPr>
            </w:pPr>
            <w:r w:rsidRPr="004606CE">
              <w:rPr>
                <w:sz w:val="22"/>
                <w:szCs w:val="22"/>
              </w:rPr>
              <w:t>$1</w:t>
            </w:r>
            <w:r w:rsidR="001262B6">
              <w:rPr>
                <w:sz w:val="22"/>
                <w:szCs w:val="22"/>
              </w:rPr>
              <w:t>,</w:t>
            </w:r>
            <w:r w:rsidR="00E8086D">
              <w:rPr>
                <w:sz w:val="22"/>
                <w:szCs w:val="22"/>
              </w:rPr>
              <w:t>628</w:t>
            </w:r>
          </w:p>
        </w:tc>
        <w:tc>
          <w:tcPr>
            <w:tcW w:w="1647" w:type="dxa"/>
          </w:tcPr>
          <w:p w:rsidR="00CB2F10" w:rsidRPr="004606CE" w:rsidRDefault="00CB2F10" w:rsidP="00E8086D">
            <w:pPr>
              <w:jc w:val="center"/>
            </w:pPr>
            <w:r w:rsidRPr="004606CE">
              <w:rPr>
                <w:sz w:val="22"/>
                <w:szCs w:val="22"/>
              </w:rPr>
              <w:t>$</w:t>
            </w:r>
            <w:r w:rsidR="00AB1E5C">
              <w:rPr>
                <w:sz w:val="22"/>
                <w:szCs w:val="22"/>
              </w:rPr>
              <w:t>2</w:t>
            </w:r>
            <w:r w:rsidR="00E8086D">
              <w:rPr>
                <w:sz w:val="22"/>
                <w:szCs w:val="22"/>
              </w:rPr>
              <w:t>,116</w:t>
            </w:r>
          </w:p>
        </w:tc>
        <w:tc>
          <w:tcPr>
            <w:tcW w:w="1714" w:type="dxa"/>
          </w:tcPr>
          <w:p w:rsidR="00CB2F10" w:rsidRPr="004606CE" w:rsidRDefault="00CB2F10" w:rsidP="00E8086D">
            <w:pPr>
              <w:jc w:val="center"/>
              <w:rPr>
                <w:strike/>
              </w:rPr>
            </w:pPr>
            <w:r w:rsidRPr="004606CE">
              <w:rPr>
                <w:sz w:val="22"/>
                <w:szCs w:val="22"/>
              </w:rPr>
              <w:t>$2,</w:t>
            </w:r>
            <w:r w:rsidR="00E8086D">
              <w:rPr>
                <w:sz w:val="22"/>
                <w:szCs w:val="22"/>
              </w:rPr>
              <w:t>686</w:t>
            </w:r>
          </w:p>
        </w:tc>
        <w:tc>
          <w:tcPr>
            <w:tcW w:w="1594" w:type="dxa"/>
          </w:tcPr>
          <w:p w:rsidR="00CB2F10" w:rsidRPr="004606CE" w:rsidRDefault="00CB2F10" w:rsidP="00E8086D">
            <w:pPr>
              <w:jc w:val="center"/>
              <w:rPr>
                <w:strike/>
              </w:rPr>
            </w:pPr>
            <w:r w:rsidRPr="004606CE">
              <w:rPr>
                <w:sz w:val="22"/>
                <w:szCs w:val="22"/>
              </w:rPr>
              <w:t>$</w:t>
            </w:r>
            <w:r w:rsidR="00E8086D">
              <w:rPr>
                <w:sz w:val="22"/>
                <w:szCs w:val="22"/>
              </w:rPr>
              <w:t>497</w:t>
            </w:r>
          </w:p>
        </w:tc>
      </w:tr>
      <w:tr w:rsidR="00CB2F10" w:rsidRPr="00BF63C2" w:rsidTr="00E371C8">
        <w:trPr>
          <w:trHeight w:val="209"/>
          <w:jc w:val="center"/>
        </w:trPr>
        <w:tc>
          <w:tcPr>
            <w:tcW w:w="1252" w:type="dxa"/>
          </w:tcPr>
          <w:p w:rsidR="00CB2F10" w:rsidRPr="004606CE" w:rsidRDefault="00CB2F10" w:rsidP="00E371C8">
            <w:pPr>
              <w:tabs>
                <w:tab w:val="left" w:pos="-720"/>
              </w:tabs>
              <w:suppressAutoHyphens/>
              <w:jc w:val="center"/>
            </w:pPr>
            <w:r w:rsidRPr="004606CE">
              <w:rPr>
                <w:sz w:val="22"/>
                <w:szCs w:val="22"/>
              </w:rPr>
              <w:t>4</w:t>
            </w:r>
          </w:p>
        </w:tc>
        <w:tc>
          <w:tcPr>
            <w:tcW w:w="1384" w:type="dxa"/>
          </w:tcPr>
          <w:p w:rsidR="00CB2F10" w:rsidRPr="004606CE" w:rsidRDefault="00CB2F10" w:rsidP="00E8086D">
            <w:pPr>
              <w:jc w:val="center"/>
              <w:rPr>
                <w:strike/>
              </w:rPr>
            </w:pPr>
            <w:r w:rsidRPr="004606CE">
              <w:rPr>
                <w:sz w:val="22"/>
                <w:szCs w:val="22"/>
              </w:rPr>
              <w:t>$1</w:t>
            </w:r>
            <w:r w:rsidR="001262B6">
              <w:rPr>
                <w:sz w:val="22"/>
                <w:szCs w:val="22"/>
              </w:rPr>
              <w:t>,9</w:t>
            </w:r>
            <w:r w:rsidR="00E8086D">
              <w:rPr>
                <w:sz w:val="22"/>
                <w:szCs w:val="22"/>
              </w:rPr>
              <w:t>63</w:t>
            </w:r>
          </w:p>
        </w:tc>
        <w:tc>
          <w:tcPr>
            <w:tcW w:w="1647" w:type="dxa"/>
          </w:tcPr>
          <w:p w:rsidR="00CB2F10" w:rsidRPr="004606CE" w:rsidRDefault="00CB2F10" w:rsidP="00E8086D">
            <w:pPr>
              <w:jc w:val="center"/>
            </w:pPr>
            <w:r w:rsidRPr="004606CE">
              <w:rPr>
                <w:sz w:val="22"/>
                <w:szCs w:val="22"/>
              </w:rPr>
              <w:t>$2,</w:t>
            </w:r>
            <w:r w:rsidR="00E8086D">
              <w:rPr>
                <w:sz w:val="22"/>
                <w:szCs w:val="22"/>
              </w:rPr>
              <w:t>552</w:t>
            </w:r>
          </w:p>
        </w:tc>
        <w:tc>
          <w:tcPr>
            <w:tcW w:w="1714" w:type="dxa"/>
          </w:tcPr>
          <w:p w:rsidR="00CB2F10" w:rsidRPr="004606CE" w:rsidRDefault="00CB2F10" w:rsidP="00E8086D">
            <w:pPr>
              <w:jc w:val="center"/>
              <w:rPr>
                <w:strike/>
              </w:rPr>
            </w:pPr>
            <w:r w:rsidRPr="004606CE">
              <w:rPr>
                <w:sz w:val="22"/>
                <w:szCs w:val="22"/>
              </w:rPr>
              <w:t>$3,</w:t>
            </w:r>
            <w:r w:rsidR="00E8086D">
              <w:rPr>
                <w:sz w:val="22"/>
                <w:szCs w:val="22"/>
              </w:rPr>
              <w:t>239</w:t>
            </w:r>
          </w:p>
        </w:tc>
        <w:tc>
          <w:tcPr>
            <w:tcW w:w="1594" w:type="dxa"/>
          </w:tcPr>
          <w:p w:rsidR="00CB2F10" w:rsidRPr="004606CE" w:rsidRDefault="00CB2F10" w:rsidP="00E8086D">
            <w:pPr>
              <w:jc w:val="center"/>
              <w:rPr>
                <w:strike/>
              </w:rPr>
            </w:pPr>
            <w:r w:rsidRPr="004606CE">
              <w:rPr>
                <w:sz w:val="22"/>
                <w:szCs w:val="22"/>
              </w:rPr>
              <w:t>$6</w:t>
            </w:r>
            <w:r w:rsidR="00E8086D">
              <w:rPr>
                <w:sz w:val="22"/>
                <w:szCs w:val="22"/>
              </w:rPr>
              <w:t>32</w:t>
            </w:r>
          </w:p>
        </w:tc>
      </w:tr>
      <w:tr w:rsidR="00CB2F10" w:rsidRPr="004606CE" w:rsidTr="00E371C8">
        <w:trPr>
          <w:trHeight w:val="250"/>
          <w:jc w:val="center"/>
        </w:trPr>
        <w:tc>
          <w:tcPr>
            <w:tcW w:w="1252" w:type="dxa"/>
          </w:tcPr>
          <w:p w:rsidR="00CB2F10" w:rsidRPr="004606CE" w:rsidRDefault="00CB2F10" w:rsidP="00E371C8">
            <w:pPr>
              <w:tabs>
                <w:tab w:val="left" w:pos="-720"/>
              </w:tabs>
              <w:suppressAutoHyphens/>
              <w:jc w:val="center"/>
            </w:pPr>
            <w:r w:rsidRPr="004606CE">
              <w:rPr>
                <w:sz w:val="22"/>
                <w:szCs w:val="22"/>
              </w:rPr>
              <w:t>5</w:t>
            </w:r>
          </w:p>
        </w:tc>
        <w:tc>
          <w:tcPr>
            <w:tcW w:w="1384" w:type="dxa"/>
          </w:tcPr>
          <w:p w:rsidR="00CB2F10" w:rsidRPr="004606CE" w:rsidRDefault="00CB2F10" w:rsidP="000D52BF">
            <w:pPr>
              <w:jc w:val="center"/>
              <w:rPr>
                <w:strike/>
              </w:rPr>
            </w:pPr>
            <w:r w:rsidRPr="000D52BF">
              <w:rPr>
                <w:sz w:val="22"/>
                <w:szCs w:val="22"/>
              </w:rPr>
              <w:t>$2,</w:t>
            </w:r>
            <w:r w:rsidR="001262B6" w:rsidRPr="000D52BF">
              <w:rPr>
                <w:sz w:val="22"/>
                <w:szCs w:val="22"/>
              </w:rPr>
              <w:t>2</w:t>
            </w:r>
            <w:r w:rsidR="000D52BF" w:rsidRPr="000D52BF">
              <w:rPr>
                <w:sz w:val="22"/>
                <w:szCs w:val="22"/>
              </w:rPr>
              <w:t>98</w:t>
            </w:r>
          </w:p>
        </w:tc>
        <w:tc>
          <w:tcPr>
            <w:tcW w:w="1647" w:type="dxa"/>
          </w:tcPr>
          <w:p w:rsidR="00CB2F10" w:rsidRPr="004606CE" w:rsidRDefault="00CB2F10" w:rsidP="000D52BF">
            <w:pPr>
              <w:jc w:val="center"/>
            </w:pPr>
            <w:r w:rsidRPr="004606CE">
              <w:rPr>
                <w:sz w:val="22"/>
                <w:szCs w:val="22"/>
              </w:rPr>
              <w:t>$2,</w:t>
            </w:r>
            <w:r w:rsidR="001262B6">
              <w:rPr>
                <w:sz w:val="22"/>
                <w:szCs w:val="22"/>
              </w:rPr>
              <w:t>9</w:t>
            </w:r>
            <w:r w:rsidR="000D52BF">
              <w:rPr>
                <w:sz w:val="22"/>
                <w:szCs w:val="22"/>
              </w:rPr>
              <w:t>8</w:t>
            </w:r>
            <w:r w:rsidR="001262B6">
              <w:rPr>
                <w:sz w:val="22"/>
                <w:szCs w:val="22"/>
              </w:rPr>
              <w:t>7</w:t>
            </w:r>
          </w:p>
        </w:tc>
        <w:tc>
          <w:tcPr>
            <w:tcW w:w="1714" w:type="dxa"/>
          </w:tcPr>
          <w:p w:rsidR="00CB2F10" w:rsidRPr="004606CE" w:rsidRDefault="00CB2F10" w:rsidP="000D52BF">
            <w:pPr>
              <w:jc w:val="center"/>
              <w:rPr>
                <w:strike/>
              </w:rPr>
            </w:pPr>
            <w:r w:rsidRPr="004606CE">
              <w:rPr>
                <w:sz w:val="22"/>
                <w:szCs w:val="22"/>
              </w:rPr>
              <w:t>$3,</w:t>
            </w:r>
            <w:r w:rsidR="001262B6">
              <w:rPr>
                <w:sz w:val="22"/>
                <w:szCs w:val="22"/>
              </w:rPr>
              <w:t>7</w:t>
            </w:r>
            <w:r w:rsidR="000D52BF">
              <w:rPr>
                <w:sz w:val="22"/>
                <w:szCs w:val="22"/>
              </w:rPr>
              <w:t>91</w:t>
            </w:r>
          </w:p>
        </w:tc>
        <w:tc>
          <w:tcPr>
            <w:tcW w:w="1594" w:type="dxa"/>
          </w:tcPr>
          <w:p w:rsidR="00CB2F10" w:rsidRPr="004606CE" w:rsidRDefault="00CB2F10" w:rsidP="000D52BF">
            <w:pPr>
              <w:jc w:val="center"/>
              <w:rPr>
                <w:strike/>
              </w:rPr>
            </w:pPr>
            <w:r w:rsidRPr="004606CE">
              <w:rPr>
                <w:sz w:val="22"/>
                <w:szCs w:val="22"/>
              </w:rPr>
              <w:t>$7</w:t>
            </w:r>
            <w:r w:rsidR="000D52BF">
              <w:rPr>
                <w:sz w:val="22"/>
                <w:szCs w:val="22"/>
              </w:rPr>
              <w:t>50</w:t>
            </w:r>
          </w:p>
        </w:tc>
      </w:tr>
      <w:tr w:rsidR="00CB2F10" w:rsidRPr="00BF63C2" w:rsidTr="00E371C8">
        <w:trPr>
          <w:trHeight w:val="236"/>
          <w:jc w:val="center"/>
        </w:trPr>
        <w:tc>
          <w:tcPr>
            <w:tcW w:w="1252" w:type="dxa"/>
          </w:tcPr>
          <w:p w:rsidR="00CB2F10" w:rsidRPr="004606CE" w:rsidRDefault="00CB2F10" w:rsidP="00E371C8">
            <w:pPr>
              <w:tabs>
                <w:tab w:val="left" w:pos="-720"/>
              </w:tabs>
              <w:suppressAutoHyphens/>
              <w:jc w:val="center"/>
            </w:pPr>
            <w:r w:rsidRPr="004606CE">
              <w:rPr>
                <w:sz w:val="22"/>
                <w:szCs w:val="22"/>
              </w:rPr>
              <w:t>6</w:t>
            </w:r>
          </w:p>
        </w:tc>
        <w:tc>
          <w:tcPr>
            <w:tcW w:w="1384" w:type="dxa"/>
          </w:tcPr>
          <w:p w:rsidR="00CB2F10" w:rsidRPr="004606CE" w:rsidRDefault="00CB2F10" w:rsidP="000D52BF">
            <w:pPr>
              <w:jc w:val="center"/>
              <w:rPr>
                <w:strike/>
              </w:rPr>
            </w:pPr>
            <w:r w:rsidRPr="000D52BF">
              <w:rPr>
                <w:sz w:val="22"/>
                <w:szCs w:val="22"/>
              </w:rPr>
              <w:t>$2,</w:t>
            </w:r>
            <w:r w:rsidR="000D52BF" w:rsidRPr="000D52BF">
              <w:rPr>
                <w:sz w:val="22"/>
                <w:szCs w:val="22"/>
              </w:rPr>
              <w:t>633</w:t>
            </w:r>
          </w:p>
        </w:tc>
        <w:tc>
          <w:tcPr>
            <w:tcW w:w="1647" w:type="dxa"/>
          </w:tcPr>
          <w:p w:rsidR="00CB2F10" w:rsidRPr="004606CE" w:rsidRDefault="00CB2F10" w:rsidP="000D52BF">
            <w:pPr>
              <w:jc w:val="center"/>
            </w:pPr>
            <w:r w:rsidRPr="004606CE">
              <w:rPr>
                <w:sz w:val="22"/>
                <w:szCs w:val="22"/>
              </w:rPr>
              <w:t>$3,</w:t>
            </w:r>
            <w:r w:rsidR="000D52BF">
              <w:rPr>
                <w:sz w:val="22"/>
                <w:szCs w:val="22"/>
              </w:rPr>
              <w:t>423</w:t>
            </w:r>
          </w:p>
        </w:tc>
        <w:tc>
          <w:tcPr>
            <w:tcW w:w="1714" w:type="dxa"/>
          </w:tcPr>
          <w:p w:rsidR="00CB2F10" w:rsidRPr="004606CE" w:rsidRDefault="00CB2F10" w:rsidP="000D52BF">
            <w:pPr>
              <w:jc w:val="center"/>
              <w:rPr>
                <w:strike/>
              </w:rPr>
            </w:pPr>
            <w:r w:rsidRPr="004606CE">
              <w:rPr>
                <w:sz w:val="22"/>
                <w:szCs w:val="22"/>
              </w:rPr>
              <w:t>$4</w:t>
            </w:r>
            <w:r w:rsidR="001262B6">
              <w:rPr>
                <w:sz w:val="22"/>
                <w:szCs w:val="22"/>
              </w:rPr>
              <w:t>,</w:t>
            </w:r>
            <w:r w:rsidR="000D52BF">
              <w:rPr>
                <w:sz w:val="22"/>
                <w:szCs w:val="22"/>
              </w:rPr>
              <w:t>344</w:t>
            </w:r>
          </w:p>
        </w:tc>
        <w:tc>
          <w:tcPr>
            <w:tcW w:w="1594" w:type="dxa"/>
          </w:tcPr>
          <w:p w:rsidR="00CB2F10" w:rsidRPr="004606CE" w:rsidRDefault="00CB2F10" w:rsidP="000D52BF">
            <w:pPr>
              <w:jc w:val="center"/>
              <w:rPr>
                <w:strike/>
              </w:rPr>
            </w:pPr>
            <w:r w:rsidRPr="004606CE">
              <w:rPr>
                <w:sz w:val="22"/>
                <w:szCs w:val="22"/>
              </w:rPr>
              <w:t>$9</w:t>
            </w:r>
            <w:r w:rsidR="000D52BF">
              <w:rPr>
                <w:sz w:val="22"/>
                <w:szCs w:val="22"/>
              </w:rPr>
              <w:t>00</w:t>
            </w:r>
          </w:p>
        </w:tc>
      </w:tr>
      <w:tr w:rsidR="00CB2F10" w:rsidRPr="00BF63C2" w:rsidTr="00E371C8">
        <w:trPr>
          <w:trHeight w:val="250"/>
          <w:jc w:val="center"/>
        </w:trPr>
        <w:tc>
          <w:tcPr>
            <w:tcW w:w="1252" w:type="dxa"/>
          </w:tcPr>
          <w:p w:rsidR="00CB2F10" w:rsidRPr="004606CE" w:rsidRDefault="00CB2F10" w:rsidP="00E371C8">
            <w:pPr>
              <w:tabs>
                <w:tab w:val="left" w:pos="-720"/>
              </w:tabs>
              <w:suppressAutoHyphens/>
              <w:jc w:val="center"/>
            </w:pPr>
            <w:r w:rsidRPr="004606CE">
              <w:rPr>
                <w:sz w:val="22"/>
                <w:szCs w:val="22"/>
              </w:rPr>
              <w:t>7</w:t>
            </w:r>
          </w:p>
        </w:tc>
        <w:tc>
          <w:tcPr>
            <w:tcW w:w="1384" w:type="dxa"/>
          </w:tcPr>
          <w:p w:rsidR="00CB2F10" w:rsidRPr="004606CE" w:rsidRDefault="00CB2F10" w:rsidP="000D52BF">
            <w:pPr>
              <w:jc w:val="center"/>
              <w:rPr>
                <w:strike/>
              </w:rPr>
            </w:pPr>
            <w:r w:rsidRPr="000D52BF">
              <w:rPr>
                <w:sz w:val="22"/>
                <w:szCs w:val="22"/>
              </w:rPr>
              <w:t>$2,</w:t>
            </w:r>
            <w:r w:rsidR="001262B6" w:rsidRPr="000D52BF">
              <w:rPr>
                <w:sz w:val="22"/>
                <w:szCs w:val="22"/>
              </w:rPr>
              <w:t>9</w:t>
            </w:r>
            <w:r w:rsidR="000D52BF" w:rsidRPr="000D52BF">
              <w:rPr>
                <w:sz w:val="22"/>
                <w:szCs w:val="22"/>
              </w:rPr>
              <w:t>68</w:t>
            </w:r>
          </w:p>
        </w:tc>
        <w:tc>
          <w:tcPr>
            <w:tcW w:w="1647" w:type="dxa"/>
          </w:tcPr>
          <w:p w:rsidR="00CB2F10" w:rsidRPr="004606CE" w:rsidRDefault="00CB2F10" w:rsidP="000D52BF">
            <w:pPr>
              <w:jc w:val="center"/>
            </w:pPr>
            <w:r w:rsidRPr="004606CE">
              <w:rPr>
                <w:sz w:val="22"/>
                <w:szCs w:val="22"/>
              </w:rPr>
              <w:t>$3,</w:t>
            </w:r>
            <w:r w:rsidR="001262B6">
              <w:rPr>
                <w:sz w:val="22"/>
                <w:szCs w:val="22"/>
              </w:rPr>
              <w:t>85</w:t>
            </w:r>
            <w:r w:rsidR="000D52BF">
              <w:rPr>
                <w:sz w:val="22"/>
                <w:szCs w:val="22"/>
              </w:rPr>
              <w:t>8</w:t>
            </w:r>
          </w:p>
        </w:tc>
        <w:tc>
          <w:tcPr>
            <w:tcW w:w="1714" w:type="dxa"/>
          </w:tcPr>
          <w:p w:rsidR="00CB2F10" w:rsidRPr="004606CE" w:rsidRDefault="00CB2F10" w:rsidP="000D52BF">
            <w:pPr>
              <w:jc w:val="center"/>
              <w:rPr>
                <w:strike/>
              </w:rPr>
            </w:pPr>
            <w:r w:rsidRPr="004606CE">
              <w:rPr>
                <w:sz w:val="22"/>
                <w:szCs w:val="22"/>
              </w:rPr>
              <w:t>$4,</w:t>
            </w:r>
            <w:r w:rsidR="001262B6">
              <w:rPr>
                <w:sz w:val="22"/>
                <w:szCs w:val="22"/>
              </w:rPr>
              <w:t>8</w:t>
            </w:r>
            <w:r w:rsidR="000D52BF">
              <w:rPr>
                <w:sz w:val="22"/>
                <w:szCs w:val="22"/>
              </w:rPr>
              <w:t>97</w:t>
            </w:r>
          </w:p>
        </w:tc>
        <w:tc>
          <w:tcPr>
            <w:tcW w:w="1594" w:type="dxa"/>
          </w:tcPr>
          <w:p w:rsidR="00CB2F10" w:rsidRPr="004606CE" w:rsidRDefault="000D52BF" w:rsidP="000D52BF">
            <w:pPr>
              <w:jc w:val="center"/>
              <w:rPr>
                <w:strike/>
              </w:rPr>
            </w:pPr>
            <w:r>
              <w:rPr>
                <w:sz w:val="22"/>
                <w:szCs w:val="22"/>
              </w:rPr>
              <w:t>$995</w:t>
            </w:r>
          </w:p>
        </w:tc>
      </w:tr>
      <w:tr w:rsidR="00CB2F10" w:rsidRPr="00BF63C2" w:rsidTr="00E371C8">
        <w:trPr>
          <w:trHeight w:val="236"/>
          <w:jc w:val="center"/>
        </w:trPr>
        <w:tc>
          <w:tcPr>
            <w:tcW w:w="1252" w:type="dxa"/>
            <w:tcBorders>
              <w:bottom w:val="single" w:sz="12" w:space="0" w:color="auto"/>
            </w:tcBorders>
          </w:tcPr>
          <w:p w:rsidR="00CB2F10" w:rsidRPr="004606CE" w:rsidRDefault="00CB2F10" w:rsidP="00E371C8">
            <w:pPr>
              <w:tabs>
                <w:tab w:val="left" w:pos="-720"/>
              </w:tabs>
              <w:suppressAutoHyphens/>
              <w:jc w:val="center"/>
            </w:pPr>
            <w:r w:rsidRPr="004606CE">
              <w:rPr>
                <w:sz w:val="22"/>
                <w:szCs w:val="22"/>
              </w:rPr>
              <w:t>8</w:t>
            </w:r>
          </w:p>
        </w:tc>
        <w:tc>
          <w:tcPr>
            <w:tcW w:w="1384" w:type="dxa"/>
            <w:tcBorders>
              <w:bottom w:val="single" w:sz="12" w:space="0" w:color="auto"/>
            </w:tcBorders>
          </w:tcPr>
          <w:p w:rsidR="00CB2F10" w:rsidRPr="004606CE" w:rsidRDefault="00CB2F10" w:rsidP="000D52BF">
            <w:pPr>
              <w:jc w:val="center"/>
              <w:rPr>
                <w:strike/>
              </w:rPr>
            </w:pPr>
            <w:r w:rsidRPr="004606CE">
              <w:rPr>
                <w:sz w:val="22"/>
                <w:szCs w:val="22"/>
              </w:rPr>
              <w:t>$3</w:t>
            </w:r>
            <w:r w:rsidR="000D52BF">
              <w:rPr>
                <w:sz w:val="22"/>
                <w:szCs w:val="22"/>
              </w:rPr>
              <w:t>,303</w:t>
            </w:r>
          </w:p>
        </w:tc>
        <w:tc>
          <w:tcPr>
            <w:tcW w:w="1647" w:type="dxa"/>
            <w:tcBorders>
              <w:bottom w:val="single" w:sz="12" w:space="0" w:color="auto"/>
            </w:tcBorders>
          </w:tcPr>
          <w:p w:rsidR="00CB2F10" w:rsidRPr="004606CE" w:rsidRDefault="00CB2F10" w:rsidP="00AB1E5C">
            <w:pPr>
              <w:jc w:val="center"/>
            </w:pPr>
            <w:r w:rsidRPr="004606CE">
              <w:rPr>
                <w:sz w:val="22"/>
                <w:szCs w:val="22"/>
              </w:rPr>
              <w:t>$4,</w:t>
            </w:r>
            <w:r w:rsidR="000D52BF">
              <w:rPr>
                <w:sz w:val="22"/>
                <w:szCs w:val="22"/>
              </w:rPr>
              <w:t>29</w:t>
            </w:r>
            <w:r w:rsidR="001262B6">
              <w:rPr>
                <w:sz w:val="22"/>
                <w:szCs w:val="22"/>
              </w:rPr>
              <w:t>4</w:t>
            </w:r>
          </w:p>
        </w:tc>
        <w:tc>
          <w:tcPr>
            <w:tcW w:w="1714" w:type="dxa"/>
            <w:tcBorders>
              <w:bottom w:val="single" w:sz="12" w:space="0" w:color="auto"/>
            </w:tcBorders>
          </w:tcPr>
          <w:p w:rsidR="00CB2F10" w:rsidRPr="004606CE" w:rsidRDefault="00CB2F10" w:rsidP="000D52BF">
            <w:pPr>
              <w:jc w:val="center"/>
              <w:rPr>
                <w:strike/>
              </w:rPr>
            </w:pPr>
            <w:r w:rsidRPr="004606CE">
              <w:rPr>
                <w:sz w:val="22"/>
                <w:szCs w:val="22"/>
              </w:rPr>
              <w:t>$5,</w:t>
            </w:r>
            <w:r w:rsidR="001262B6">
              <w:rPr>
                <w:sz w:val="22"/>
                <w:szCs w:val="22"/>
              </w:rPr>
              <w:t>4</w:t>
            </w:r>
            <w:r w:rsidR="000D52BF">
              <w:rPr>
                <w:sz w:val="22"/>
                <w:szCs w:val="22"/>
              </w:rPr>
              <w:t>50</w:t>
            </w:r>
          </w:p>
        </w:tc>
        <w:tc>
          <w:tcPr>
            <w:tcW w:w="1594" w:type="dxa"/>
            <w:tcBorders>
              <w:bottom w:val="single" w:sz="12" w:space="0" w:color="auto"/>
            </w:tcBorders>
          </w:tcPr>
          <w:p w:rsidR="00CB2F10" w:rsidRPr="004606CE" w:rsidRDefault="00CB2F10" w:rsidP="000D52BF">
            <w:pPr>
              <w:jc w:val="center"/>
              <w:rPr>
                <w:strike/>
              </w:rPr>
            </w:pPr>
            <w:r w:rsidRPr="004606CE">
              <w:rPr>
                <w:sz w:val="22"/>
                <w:szCs w:val="22"/>
              </w:rPr>
              <w:t>$1,</w:t>
            </w:r>
            <w:r w:rsidR="000D52BF">
              <w:rPr>
                <w:sz w:val="22"/>
                <w:szCs w:val="22"/>
              </w:rPr>
              <w:t>137</w:t>
            </w:r>
          </w:p>
        </w:tc>
      </w:tr>
      <w:tr w:rsidR="00CB2F10" w:rsidRPr="00044075" w:rsidTr="00E371C8">
        <w:trPr>
          <w:trHeight w:val="235"/>
          <w:jc w:val="center"/>
        </w:trPr>
        <w:tc>
          <w:tcPr>
            <w:tcW w:w="1252" w:type="dxa"/>
            <w:tcBorders>
              <w:top w:val="single" w:sz="12" w:space="0" w:color="auto"/>
              <w:bottom w:val="single" w:sz="12" w:space="0" w:color="auto"/>
            </w:tcBorders>
          </w:tcPr>
          <w:p w:rsidR="00CB2F10" w:rsidRPr="004606CE" w:rsidRDefault="00CB2F10" w:rsidP="00DC2DAD">
            <w:pPr>
              <w:rPr>
                <w:b/>
              </w:rPr>
            </w:pPr>
            <w:r w:rsidRPr="004606CE">
              <w:rPr>
                <w:b/>
                <w:sz w:val="22"/>
                <w:szCs w:val="22"/>
              </w:rPr>
              <w:t xml:space="preserve">      +1</w:t>
            </w:r>
          </w:p>
        </w:tc>
        <w:tc>
          <w:tcPr>
            <w:tcW w:w="1384" w:type="dxa"/>
            <w:tcBorders>
              <w:top w:val="single" w:sz="12" w:space="0" w:color="auto"/>
              <w:bottom w:val="single" w:sz="12" w:space="0" w:color="auto"/>
            </w:tcBorders>
          </w:tcPr>
          <w:p w:rsidR="00CB2F10" w:rsidRPr="004606CE" w:rsidRDefault="00CB2F10" w:rsidP="000D52BF">
            <w:pPr>
              <w:jc w:val="center"/>
              <w:rPr>
                <w:b/>
              </w:rPr>
            </w:pPr>
            <w:r w:rsidRPr="004606CE">
              <w:rPr>
                <w:b/>
                <w:sz w:val="22"/>
                <w:szCs w:val="22"/>
              </w:rPr>
              <w:t>+$3</w:t>
            </w:r>
            <w:r w:rsidR="001262B6">
              <w:rPr>
                <w:b/>
                <w:sz w:val="22"/>
                <w:szCs w:val="22"/>
              </w:rPr>
              <w:t>3</w:t>
            </w:r>
            <w:r w:rsidR="000D52BF">
              <w:rPr>
                <w:b/>
                <w:sz w:val="22"/>
                <w:szCs w:val="22"/>
              </w:rPr>
              <w:t>5</w:t>
            </w:r>
          </w:p>
        </w:tc>
        <w:tc>
          <w:tcPr>
            <w:tcW w:w="1647" w:type="dxa"/>
            <w:tcBorders>
              <w:top w:val="single" w:sz="12" w:space="0" w:color="auto"/>
              <w:bottom w:val="single" w:sz="12" w:space="0" w:color="auto"/>
            </w:tcBorders>
          </w:tcPr>
          <w:p w:rsidR="00CB2F10" w:rsidRPr="004606CE" w:rsidRDefault="00CB2F10" w:rsidP="000D52BF">
            <w:pPr>
              <w:jc w:val="center"/>
              <w:rPr>
                <w:b/>
              </w:rPr>
            </w:pPr>
            <w:r w:rsidRPr="004606CE">
              <w:rPr>
                <w:b/>
                <w:sz w:val="22"/>
                <w:szCs w:val="22"/>
              </w:rPr>
              <w:t>+ $4</w:t>
            </w:r>
            <w:r w:rsidR="000D52BF">
              <w:rPr>
                <w:b/>
                <w:sz w:val="22"/>
                <w:szCs w:val="22"/>
              </w:rPr>
              <w:t>36</w:t>
            </w:r>
          </w:p>
        </w:tc>
        <w:tc>
          <w:tcPr>
            <w:tcW w:w="1714" w:type="dxa"/>
            <w:tcBorders>
              <w:top w:val="single" w:sz="12" w:space="0" w:color="auto"/>
              <w:bottom w:val="single" w:sz="12" w:space="0" w:color="auto"/>
            </w:tcBorders>
          </w:tcPr>
          <w:p w:rsidR="00CB2F10" w:rsidRPr="004606CE" w:rsidRDefault="00CB2F10" w:rsidP="000D52BF">
            <w:pPr>
              <w:jc w:val="center"/>
              <w:rPr>
                <w:b/>
              </w:rPr>
            </w:pPr>
            <w:r w:rsidRPr="004606CE">
              <w:rPr>
                <w:b/>
                <w:sz w:val="22"/>
                <w:szCs w:val="22"/>
              </w:rPr>
              <w:t>+$5</w:t>
            </w:r>
            <w:r w:rsidR="001262B6">
              <w:rPr>
                <w:b/>
                <w:sz w:val="22"/>
                <w:szCs w:val="22"/>
              </w:rPr>
              <w:t>5</w:t>
            </w:r>
            <w:r w:rsidR="000D52BF">
              <w:rPr>
                <w:b/>
                <w:sz w:val="22"/>
                <w:szCs w:val="22"/>
              </w:rPr>
              <w:t>3</w:t>
            </w:r>
          </w:p>
        </w:tc>
        <w:tc>
          <w:tcPr>
            <w:tcW w:w="1594" w:type="dxa"/>
            <w:tcBorders>
              <w:top w:val="single" w:sz="12" w:space="0" w:color="auto"/>
              <w:bottom w:val="single" w:sz="12" w:space="0" w:color="auto"/>
            </w:tcBorders>
          </w:tcPr>
          <w:p w:rsidR="00CB2F10" w:rsidRPr="004606CE" w:rsidRDefault="00CB2F10" w:rsidP="000D52BF">
            <w:pPr>
              <w:jc w:val="center"/>
              <w:rPr>
                <w:b/>
              </w:rPr>
            </w:pPr>
            <w:r w:rsidRPr="004606CE">
              <w:rPr>
                <w:b/>
                <w:sz w:val="22"/>
                <w:szCs w:val="22"/>
              </w:rPr>
              <w:t>+$1</w:t>
            </w:r>
            <w:r w:rsidR="000D52BF">
              <w:rPr>
                <w:b/>
                <w:sz w:val="22"/>
                <w:szCs w:val="22"/>
              </w:rPr>
              <w:t>42</w:t>
            </w:r>
          </w:p>
        </w:tc>
      </w:tr>
    </w:tbl>
    <w:p w:rsidR="00F73A99" w:rsidRDefault="00F73A99" w:rsidP="00E16075">
      <w:pPr>
        <w:ind w:left="1080"/>
      </w:pPr>
    </w:p>
    <w:p w:rsidR="00F73A99" w:rsidRDefault="00F73A99">
      <w:r>
        <w:br w:type="page"/>
      </w:r>
    </w:p>
    <w:p w:rsidR="00CB2F10" w:rsidRDefault="00CB2F10" w:rsidP="00E16075">
      <w:pPr>
        <w:ind w:left="1080"/>
      </w:pPr>
    </w:p>
    <w:tbl>
      <w:tblPr>
        <w:tblW w:w="0" w:type="auto"/>
        <w:jc w:val="center"/>
        <w:tblBorders>
          <w:top w:val="single" w:sz="12" w:space="0" w:color="000000"/>
          <w:bottom w:val="single" w:sz="12" w:space="0" w:color="000000"/>
          <w:insideH w:val="single" w:sz="6" w:space="0" w:color="000000"/>
        </w:tblBorders>
        <w:tblLook w:val="01E0" w:firstRow="1" w:lastRow="1" w:firstColumn="1" w:lastColumn="1" w:noHBand="0" w:noVBand="0"/>
      </w:tblPr>
      <w:tblGrid>
        <w:gridCol w:w="5540"/>
        <w:gridCol w:w="1989"/>
      </w:tblGrid>
      <w:tr w:rsidR="00CB2F10" w:rsidRPr="00D0472A" w:rsidTr="00D909C3">
        <w:trPr>
          <w:trHeight w:val="375"/>
          <w:jc w:val="center"/>
        </w:trPr>
        <w:tc>
          <w:tcPr>
            <w:tcW w:w="5540" w:type="dxa"/>
            <w:tcBorders>
              <w:top w:val="single" w:sz="12" w:space="0" w:color="000000"/>
              <w:bottom w:val="single" w:sz="12" w:space="0" w:color="000000"/>
            </w:tcBorders>
            <w:shd w:val="clear" w:color="auto" w:fill="FBD4B4" w:themeFill="accent6" w:themeFillTint="66"/>
            <w:vAlign w:val="center"/>
          </w:tcPr>
          <w:p w:rsidR="00CB2F10" w:rsidRPr="00E54DD0" w:rsidRDefault="00CB2F10" w:rsidP="00D0472A">
            <w:pPr>
              <w:jc w:val="center"/>
              <w:rPr>
                <w:b/>
                <w:bCs/>
              </w:rPr>
            </w:pPr>
            <w:r w:rsidRPr="00E54DD0">
              <w:rPr>
                <w:b/>
                <w:bCs/>
                <w:sz w:val="22"/>
                <w:szCs w:val="22"/>
              </w:rPr>
              <w:t>Deduction Types</w:t>
            </w:r>
          </w:p>
        </w:tc>
        <w:tc>
          <w:tcPr>
            <w:tcW w:w="1989" w:type="dxa"/>
            <w:tcBorders>
              <w:top w:val="single" w:sz="12" w:space="0" w:color="000000"/>
              <w:bottom w:val="single" w:sz="12" w:space="0" w:color="000000"/>
            </w:tcBorders>
            <w:shd w:val="clear" w:color="auto" w:fill="FBD4B4" w:themeFill="accent6" w:themeFillTint="66"/>
            <w:vAlign w:val="center"/>
          </w:tcPr>
          <w:p w:rsidR="00CB2F10" w:rsidRPr="00E54DD0" w:rsidRDefault="00CB2F10" w:rsidP="00D0472A">
            <w:pPr>
              <w:jc w:val="center"/>
              <w:rPr>
                <w:b/>
                <w:bCs/>
              </w:rPr>
            </w:pPr>
            <w:r w:rsidRPr="00E54DD0">
              <w:rPr>
                <w:b/>
                <w:bCs/>
                <w:sz w:val="22"/>
                <w:szCs w:val="22"/>
              </w:rPr>
              <w:t>Amount</w:t>
            </w:r>
          </w:p>
        </w:tc>
      </w:tr>
      <w:tr w:rsidR="00CB2F10" w:rsidRPr="00D0472A" w:rsidTr="00BD4F7D">
        <w:trPr>
          <w:trHeight w:val="165"/>
          <w:jc w:val="center"/>
        </w:trPr>
        <w:tc>
          <w:tcPr>
            <w:tcW w:w="5540" w:type="dxa"/>
          </w:tcPr>
          <w:p w:rsidR="00CB2F10" w:rsidRPr="00E54DD0" w:rsidRDefault="00CB2F10" w:rsidP="00E371C8">
            <w:pPr>
              <w:rPr>
                <w:b/>
              </w:rPr>
            </w:pPr>
            <w:r w:rsidRPr="00E54DD0">
              <w:rPr>
                <w:b/>
                <w:sz w:val="22"/>
                <w:szCs w:val="22"/>
              </w:rPr>
              <w:t>Standard Deduction</w:t>
            </w:r>
          </w:p>
        </w:tc>
        <w:tc>
          <w:tcPr>
            <w:tcW w:w="1989" w:type="dxa"/>
          </w:tcPr>
          <w:p w:rsidR="00CB2F10" w:rsidRPr="00E54DD0" w:rsidRDefault="00CB2F10" w:rsidP="00E371C8">
            <w:r w:rsidRPr="00E54DD0">
              <w:rPr>
                <w:rFonts w:ascii="Arial" w:hAnsi="Arial" w:cs="Arial"/>
                <w:sz w:val="22"/>
                <w:szCs w:val="22"/>
              </w:rPr>
              <w:t xml:space="preserve">  ▼</w:t>
            </w:r>
          </w:p>
        </w:tc>
      </w:tr>
      <w:tr w:rsidR="00CB2F10" w:rsidRPr="00D0472A" w:rsidTr="00BD4F7D">
        <w:trPr>
          <w:trHeight w:val="165"/>
          <w:jc w:val="center"/>
        </w:trPr>
        <w:tc>
          <w:tcPr>
            <w:tcW w:w="5540" w:type="dxa"/>
            <w:vAlign w:val="center"/>
          </w:tcPr>
          <w:p w:rsidR="00CB2F10" w:rsidRPr="00E54DD0" w:rsidRDefault="00CB2F10" w:rsidP="00D0472A">
            <w:pPr>
              <w:ind w:left="720"/>
              <w:rPr>
                <w:sz w:val="18"/>
                <w:szCs w:val="18"/>
              </w:rPr>
            </w:pPr>
            <w:r w:rsidRPr="00E54DD0">
              <w:rPr>
                <w:sz w:val="18"/>
                <w:szCs w:val="18"/>
              </w:rPr>
              <w:t>1 – 3 Household Members</w:t>
            </w:r>
          </w:p>
        </w:tc>
        <w:tc>
          <w:tcPr>
            <w:tcW w:w="1989" w:type="dxa"/>
          </w:tcPr>
          <w:p w:rsidR="00CB2F10" w:rsidRPr="00E54DD0" w:rsidRDefault="00CB2F10" w:rsidP="000D52BF">
            <w:r w:rsidRPr="00E54DD0">
              <w:rPr>
                <w:sz w:val="22"/>
                <w:szCs w:val="22"/>
              </w:rPr>
              <w:t>$1</w:t>
            </w:r>
            <w:r w:rsidR="000D52BF">
              <w:rPr>
                <w:sz w:val="22"/>
                <w:szCs w:val="22"/>
              </w:rPr>
              <w:t>52</w:t>
            </w:r>
          </w:p>
        </w:tc>
      </w:tr>
      <w:tr w:rsidR="00CB2F10" w:rsidRPr="00D0472A" w:rsidTr="00BD4F7D">
        <w:trPr>
          <w:trHeight w:val="228"/>
          <w:jc w:val="center"/>
        </w:trPr>
        <w:tc>
          <w:tcPr>
            <w:tcW w:w="5540" w:type="dxa"/>
            <w:tcBorders>
              <w:bottom w:val="single" w:sz="2" w:space="0" w:color="000000"/>
            </w:tcBorders>
            <w:vAlign w:val="center"/>
          </w:tcPr>
          <w:p w:rsidR="00CB2F10" w:rsidRPr="00E54DD0" w:rsidRDefault="00CB2F10" w:rsidP="00D0472A">
            <w:pPr>
              <w:ind w:left="720"/>
              <w:rPr>
                <w:sz w:val="18"/>
                <w:szCs w:val="18"/>
              </w:rPr>
            </w:pPr>
            <w:r w:rsidRPr="00E54DD0">
              <w:rPr>
                <w:sz w:val="18"/>
                <w:szCs w:val="18"/>
              </w:rPr>
              <w:t>4 Household Members</w:t>
            </w:r>
          </w:p>
        </w:tc>
        <w:tc>
          <w:tcPr>
            <w:tcW w:w="1989" w:type="dxa"/>
            <w:tcBorders>
              <w:bottom w:val="single" w:sz="2" w:space="0" w:color="000000"/>
            </w:tcBorders>
          </w:tcPr>
          <w:p w:rsidR="00CB2F10" w:rsidRPr="00E54DD0" w:rsidRDefault="00CB2F10" w:rsidP="000D52BF">
            <w:r w:rsidRPr="00E54DD0">
              <w:rPr>
                <w:sz w:val="22"/>
                <w:szCs w:val="22"/>
              </w:rPr>
              <w:t>$1</w:t>
            </w:r>
            <w:r w:rsidR="001262B6">
              <w:rPr>
                <w:sz w:val="22"/>
                <w:szCs w:val="22"/>
              </w:rPr>
              <w:t>6</w:t>
            </w:r>
            <w:r w:rsidR="000D52BF">
              <w:rPr>
                <w:sz w:val="22"/>
                <w:szCs w:val="22"/>
              </w:rPr>
              <w:t>3</w:t>
            </w:r>
          </w:p>
        </w:tc>
      </w:tr>
      <w:tr w:rsidR="00CB2F10" w:rsidRPr="00D0472A" w:rsidTr="00BD4F7D">
        <w:trPr>
          <w:trHeight w:val="201"/>
          <w:jc w:val="center"/>
        </w:trPr>
        <w:tc>
          <w:tcPr>
            <w:tcW w:w="5540" w:type="dxa"/>
            <w:tcBorders>
              <w:top w:val="single" w:sz="2" w:space="0" w:color="000000"/>
              <w:bottom w:val="single" w:sz="2" w:space="0" w:color="000000"/>
            </w:tcBorders>
            <w:vAlign w:val="center"/>
          </w:tcPr>
          <w:p w:rsidR="00CB2F10" w:rsidRPr="00E54DD0" w:rsidRDefault="00CB2F10" w:rsidP="00D0472A">
            <w:pPr>
              <w:ind w:left="720"/>
              <w:rPr>
                <w:sz w:val="18"/>
                <w:szCs w:val="18"/>
              </w:rPr>
            </w:pPr>
            <w:r w:rsidRPr="00E54DD0">
              <w:rPr>
                <w:sz w:val="18"/>
                <w:szCs w:val="18"/>
              </w:rPr>
              <w:t>5 Household Members</w:t>
            </w:r>
          </w:p>
        </w:tc>
        <w:tc>
          <w:tcPr>
            <w:tcW w:w="1989" w:type="dxa"/>
            <w:tcBorders>
              <w:top w:val="single" w:sz="2" w:space="0" w:color="000000"/>
              <w:bottom w:val="single" w:sz="2" w:space="0" w:color="000000"/>
            </w:tcBorders>
          </w:tcPr>
          <w:p w:rsidR="00CB2F10" w:rsidRPr="00E54DD0" w:rsidRDefault="00CB2F10" w:rsidP="000D52BF">
            <w:r w:rsidRPr="00E54DD0">
              <w:rPr>
                <w:sz w:val="22"/>
                <w:szCs w:val="22"/>
              </w:rPr>
              <w:t>$1</w:t>
            </w:r>
            <w:r w:rsidR="000D52BF">
              <w:rPr>
                <w:sz w:val="22"/>
                <w:szCs w:val="22"/>
              </w:rPr>
              <w:t>91</w:t>
            </w:r>
          </w:p>
        </w:tc>
      </w:tr>
      <w:tr w:rsidR="00CB2F10" w:rsidRPr="00D0472A" w:rsidTr="00BD4F7D">
        <w:trPr>
          <w:trHeight w:val="201"/>
          <w:jc w:val="center"/>
        </w:trPr>
        <w:tc>
          <w:tcPr>
            <w:tcW w:w="5540" w:type="dxa"/>
            <w:tcBorders>
              <w:top w:val="single" w:sz="2" w:space="0" w:color="000000"/>
              <w:bottom w:val="single" w:sz="2" w:space="0" w:color="000000"/>
            </w:tcBorders>
            <w:vAlign w:val="center"/>
          </w:tcPr>
          <w:p w:rsidR="00CB2F10" w:rsidRPr="00E54DD0" w:rsidRDefault="00CB2F10" w:rsidP="00D0472A">
            <w:pPr>
              <w:ind w:left="720"/>
              <w:rPr>
                <w:sz w:val="18"/>
                <w:szCs w:val="18"/>
              </w:rPr>
            </w:pPr>
            <w:r w:rsidRPr="00E54DD0">
              <w:rPr>
                <w:sz w:val="18"/>
                <w:szCs w:val="18"/>
              </w:rPr>
              <w:t>6 or more Household Members</w:t>
            </w:r>
          </w:p>
        </w:tc>
        <w:tc>
          <w:tcPr>
            <w:tcW w:w="1989" w:type="dxa"/>
            <w:tcBorders>
              <w:top w:val="single" w:sz="2" w:space="0" w:color="000000"/>
              <w:bottom w:val="single" w:sz="2" w:space="0" w:color="000000"/>
            </w:tcBorders>
          </w:tcPr>
          <w:p w:rsidR="00CB2F10" w:rsidRPr="00E54DD0" w:rsidRDefault="00CB2F10" w:rsidP="000D52BF">
            <w:r w:rsidRPr="00E54DD0">
              <w:rPr>
                <w:sz w:val="22"/>
                <w:szCs w:val="22"/>
              </w:rPr>
              <w:t>$2</w:t>
            </w:r>
            <w:r w:rsidR="001262B6">
              <w:rPr>
                <w:sz w:val="22"/>
                <w:szCs w:val="22"/>
              </w:rPr>
              <w:t>1</w:t>
            </w:r>
            <w:r w:rsidR="000D52BF">
              <w:rPr>
                <w:sz w:val="22"/>
                <w:szCs w:val="22"/>
              </w:rPr>
              <w:t>9</w:t>
            </w:r>
          </w:p>
        </w:tc>
      </w:tr>
      <w:tr w:rsidR="00CB2F10" w:rsidRPr="00D0472A" w:rsidTr="00BD4F7D">
        <w:trPr>
          <w:trHeight w:val="201"/>
          <w:jc w:val="center"/>
        </w:trPr>
        <w:tc>
          <w:tcPr>
            <w:tcW w:w="5540" w:type="dxa"/>
            <w:tcBorders>
              <w:top w:val="single" w:sz="2" w:space="0" w:color="000000"/>
              <w:bottom w:val="single" w:sz="2" w:space="0" w:color="000000"/>
            </w:tcBorders>
          </w:tcPr>
          <w:p w:rsidR="00CB2F10" w:rsidRPr="00E54DD0" w:rsidRDefault="00CB2F10" w:rsidP="00E371C8">
            <w:pPr>
              <w:rPr>
                <w:b/>
              </w:rPr>
            </w:pPr>
            <w:r w:rsidRPr="00E54DD0">
              <w:rPr>
                <w:b/>
                <w:sz w:val="22"/>
                <w:szCs w:val="22"/>
              </w:rPr>
              <w:t>Earned Income Deduction</w:t>
            </w:r>
          </w:p>
        </w:tc>
        <w:tc>
          <w:tcPr>
            <w:tcW w:w="1989" w:type="dxa"/>
            <w:tcBorders>
              <w:top w:val="single" w:sz="2" w:space="0" w:color="000000"/>
              <w:bottom w:val="single" w:sz="2" w:space="0" w:color="000000"/>
            </w:tcBorders>
          </w:tcPr>
          <w:p w:rsidR="00CB2F10" w:rsidRPr="00E54DD0" w:rsidRDefault="00CB2F10" w:rsidP="00E371C8">
            <w:r w:rsidRPr="00E54DD0">
              <w:rPr>
                <w:sz w:val="22"/>
                <w:szCs w:val="22"/>
              </w:rPr>
              <w:t>20% of earnings</w:t>
            </w:r>
          </w:p>
        </w:tc>
      </w:tr>
      <w:tr w:rsidR="00CB2F10" w:rsidRPr="00D0472A" w:rsidTr="00BD4F7D">
        <w:trPr>
          <w:trHeight w:val="201"/>
          <w:jc w:val="center"/>
        </w:trPr>
        <w:tc>
          <w:tcPr>
            <w:tcW w:w="5540" w:type="dxa"/>
            <w:tcBorders>
              <w:top w:val="single" w:sz="2" w:space="0" w:color="000000"/>
              <w:bottom w:val="single" w:sz="2" w:space="0" w:color="000000"/>
            </w:tcBorders>
          </w:tcPr>
          <w:p w:rsidR="00CB2F10" w:rsidRPr="00E54DD0" w:rsidRDefault="00CB2F10" w:rsidP="00E371C8">
            <w:pPr>
              <w:rPr>
                <w:b/>
              </w:rPr>
            </w:pPr>
            <w:r w:rsidRPr="00E54DD0">
              <w:rPr>
                <w:b/>
                <w:sz w:val="22"/>
                <w:szCs w:val="22"/>
              </w:rPr>
              <w:t>Dependent Care Deduction</w:t>
            </w:r>
          </w:p>
        </w:tc>
        <w:tc>
          <w:tcPr>
            <w:tcW w:w="1989" w:type="dxa"/>
            <w:tcBorders>
              <w:top w:val="single" w:sz="2" w:space="0" w:color="000000"/>
              <w:bottom w:val="single" w:sz="2" w:space="0" w:color="000000"/>
            </w:tcBorders>
          </w:tcPr>
          <w:p w:rsidR="00CB2F10" w:rsidRPr="000D52BF" w:rsidRDefault="00CB2F10" w:rsidP="00E371C8">
            <w:pPr>
              <w:rPr>
                <w:sz w:val="22"/>
                <w:szCs w:val="22"/>
              </w:rPr>
            </w:pPr>
            <w:r w:rsidRPr="000D52BF">
              <w:rPr>
                <w:sz w:val="22"/>
                <w:szCs w:val="22"/>
              </w:rPr>
              <w:t>Actual</w:t>
            </w:r>
            <w:r w:rsidR="000D52BF" w:rsidRPr="000D52BF">
              <w:rPr>
                <w:sz w:val="22"/>
                <w:szCs w:val="22"/>
              </w:rPr>
              <w:t xml:space="preserve"> (No Limit)</w:t>
            </w:r>
          </w:p>
        </w:tc>
      </w:tr>
      <w:tr w:rsidR="00CB2F10" w:rsidRPr="00D0472A" w:rsidTr="00BD4F7D">
        <w:trPr>
          <w:trHeight w:val="201"/>
          <w:jc w:val="center"/>
        </w:trPr>
        <w:tc>
          <w:tcPr>
            <w:tcW w:w="5540" w:type="dxa"/>
            <w:tcBorders>
              <w:top w:val="single" w:sz="2" w:space="0" w:color="000000"/>
              <w:bottom w:val="single" w:sz="2" w:space="0" w:color="000000"/>
            </w:tcBorders>
          </w:tcPr>
          <w:p w:rsidR="00CB2F10" w:rsidRPr="00E54DD0" w:rsidRDefault="00CB2F10" w:rsidP="000D52BF">
            <w:pPr>
              <w:rPr>
                <w:b/>
              </w:rPr>
            </w:pPr>
            <w:r w:rsidRPr="00E54DD0">
              <w:rPr>
                <w:b/>
                <w:sz w:val="22"/>
                <w:szCs w:val="22"/>
              </w:rPr>
              <w:t xml:space="preserve">Medical Expenses for the Elderly or Disabled </w:t>
            </w:r>
          </w:p>
        </w:tc>
        <w:tc>
          <w:tcPr>
            <w:tcW w:w="1989" w:type="dxa"/>
            <w:tcBorders>
              <w:top w:val="single" w:sz="2" w:space="0" w:color="000000"/>
              <w:bottom w:val="single" w:sz="2" w:space="0" w:color="000000"/>
            </w:tcBorders>
          </w:tcPr>
          <w:p w:rsidR="000D52BF" w:rsidRPr="00E54DD0" w:rsidRDefault="00CB2F10" w:rsidP="000D52BF">
            <w:r w:rsidRPr="00E54DD0">
              <w:rPr>
                <w:sz w:val="22"/>
                <w:szCs w:val="22"/>
              </w:rPr>
              <w:t>Actual</w:t>
            </w:r>
            <w:r w:rsidR="000D52BF" w:rsidRPr="00E54DD0">
              <w:rPr>
                <w:b/>
                <w:sz w:val="22"/>
                <w:szCs w:val="22"/>
              </w:rPr>
              <w:t xml:space="preserve"> </w:t>
            </w:r>
            <w:r w:rsidR="000D52BF" w:rsidRPr="000D52BF">
              <w:rPr>
                <w:sz w:val="22"/>
                <w:szCs w:val="22"/>
              </w:rPr>
              <w:t>(over $35)</w:t>
            </w:r>
          </w:p>
        </w:tc>
      </w:tr>
      <w:tr w:rsidR="00CB2F10" w:rsidRPr="00D0472A" w:rsidTr="00BD4F7D">
        <w:trPr>
          <w:trHeight w:val="201"/>
          <w:jc w:val="center"/>
        </w:trPr>
        <w:tc>
          <w:tcPr>
            <w:tcW w:w="5540" w:type="dxa"/>
            <w:tcBorders>
              <w:top w:val="single" w:sz="2" w:space="0" w:color="000000"/>
              <w:bottom w:val="single" w:sz="2" w:space="0" w:color="000000"/>
            </w:tcBorders>
          </w:tcPr>
          <w:p w:rsidR="00CB2F10" w:rsidRPr="00E54DD0" w:rsidRDefault="00CB2F10" w:rsidP="00E371C8">
            <w:pPr>
              <w:rPr>
                <w:b/>
              </w:rPr>
            </w:pPr>
            <w:r w:rsidRPr="00E54DD0">
              <w:rPr>
                <w:b/>
                <w:sz w:val="22"/>
                <w:szCs w:val="22"/>
              </w:rPr>
              <w:t>Legally Obligated Child Support Payments</w:t>
            </w:r>
          </w:p>
        </w:tc>
        <w:tc>
          <w:tcPr>
            <w:tcW w:w="1989" w:type="dxa"/>
            <w:tcBorders>
              <w:top w:val="single" w:sz="2" w:space="0" w:color="000000"/>
              <w:bottom w:val="single" w:sz="2" w:space="0" w:color="000000"/>
            </w:tcBorders>
          </w:tcPr>
          <w:p w:rsidR="00CB2F10" w:rsidRPr="00E54DD0" w:rsidRDefault="00CB2F10" w:rsidP="00E371C8">
            <w:r w:rsidRPr="00E54DD0">
              <w:rPr>
                <w:sz w:val="22"/>
                <w:szCs w:val="22"/>
              </w:rPr>
              <w:t>Actual</w:t>
            </w:r>
          </w:p>
        </w:tc>
      </w:tr>
      <w:tr w:rsidR="00CB2F10" w:rsidRPr="00D0472A" w:rsidTr="00BD4F7D">
        <w:trPr>
          <w:trHeight w:val="201"/>
          <w:jc w:val="center"/>
        </w:trPr>
        <w:tc>
          <w:tcPr>
            <w:tcW w:w="5540" w:type="dxa"/>
            <w:tcBorders>
              <w:top w:val="single" w:sz="2" w:space="0" w:color="000000"/>
              <w:bottom w:val="single" w:sz="2" w:space="0" w:color="000000"/>
            </w:tcBorders>
          </w:tcPr>
          <w:p w:rsidR="00CB2F10" w:rsidRPr="00E54DD0" w:rsidRDefault="00CB2F10" w:rsidP="00E371C8">
            <w:pPr>
              <w:rPr>
                <w:b/>
              </w:rPr>
            </w:pPr>
            <w:r w:rsidRPr="00E54DD0">
              <w:rPr>
                <w:b/>
                <w:sz w:val="22"/>
                <w:szCs w:val="22"/>
              </w:rPr>
              <w:t>Excess Shelter Deduction – Capped (see below)</w:t>
            </w:r>
          </w:p>
        </w:tc>
        <w:tc>
          <w:tcPr>
            <w:tcW w:w="1989" w:type="dxa"/>
            <w:tcBorders>
              <w:top w:val="single" w:sz="2" w:space="0" w:color="000000"/>
              <w:bottom w:val="single" w:sz="2" w:space="0" w:color="000000"/>
            </w:tcBorders>
          </w:tcPr>
          <w:p w:rsidR="00CB2F10" w:rsidRPr="00E54DD0" w:rsidRDefault="001262B6" w:rsidP="00AB1E5C">
            <w:r>
              <w:rPr>
                <w:sz w:val="22"/>
                <w:szCs w:val="22"/>
              </w:rPr>
              <w:t>$4</w:t>
            </w:r>
            <w:r w:rsidR="000D52BF">
              <w:rPr>
                <w:sz w:val="22"/>
                <w:szCs w:val="22"/>
              </w:rPr>
              <w:t>78</w:t>
            </w:r>
          </w:p>
        </w:tc>
      </w:tr>
      <w:tr w:rsidR="00CB2F10" w:rsidRPr="00D0472A" w:rsidTr="00CF719F">
        <w:trPr>
          <w:trHeight w:val="230"/>
          <w:jc w:val="center"/>
        </w:trPr>
        <w:tc>
          <w:tcPr>
            <w:tcW w:w="5540" w:type="dxa"/>
            <w:tcBorders>
              <w:top w:val="single" w:sz="2" w:space="0" w:color="000000"/>
              <w:bottom w:val="single" w:sz="2" w:space="0" w:color="000000"/>
            </w:tcBorders>
            <w:vAlign w:val="center"/>
          </w:tcPr>
          <w:p w:rsidR="00CB2F10" w:rsidRPr="00E54DD0" w:rsidRDefault="00CB2F10" w:rsidP="00D0472A">
            <w:pPr>
              <w:ind w:left="720"/>
              <w:rPr>
                <w:sz w:val="18"/>
                <w:szCs w:val="18"/>
              </w:rPr>
            </w:pPr>
            <w:r w:rsidRPr="00E54DD0">
              <w:rPr>
                <w:sz w:val="18"/>
                <w:szCs w:val="18"/>
              </w:rPr>
              <w:t xml:space="preserve">Rent or Mortgage (Insurance &amp; Taxes) Cost </w:t>
            </w:r>
          </w:p>
        </w:tc>
        <w:tc>
          <w:tcPr>
            <w:tcW w:w="1989" w:type="dxa"/>
            <w:tcBorders>
              <w:top w:val="single" w:sz="2" w:space="0" w:color="000000"/>
              <w:bottom w:val="single" w:sz="2" w:space="0" w:color="000000"/>
            </w:tcBorders>
            <w:vAlign w:val="center"/>
          </w:tcPr>
          <w:p w:rsidR="00CB2F10" w:rsidRPr="00E54DD0" w:rsidRDefault="00CB2F10" w:rsidP="00E371C8">
            <w:pPr>
              <w:rPr>
                <w:sz w:val="18"/>
                <w:szCs w:val="18"/>
              </w:rPr>
            </w:pPr>
            <w:r w:rsidRPr="00E54DD0">
              <w:rPr>
                <w:sz w:val="18"/>
                <w:szCs w:val="18"/>
              </w:rPr>
              <w:t>Actual</w:t>
            </w:r>
          </w:p>
        </w:tc>
      </w:tr>
      <w:tr w:rsidR="00CB2F10" w:rsidRPr="00D0472A" w:rsidTr="00CF719F">
        <w:trPr>
          <w:trHeight w:val="230"/>
          <w:jc w:val="center"/>
        </w:trPr>
        <w:tc>
          <w:tcPr>
            <w:tcW w:w="5540" w:type="dxa"/>
            <w:tcBorders>
              <w:top w:val="single" w:sz="2" w:space="0" w:color="000000"/>
              <w:bottom w:val="single" w:sz="2" w:space="0" w:color="000000"/>
            </w:tcBorders>
            <w:vAlign w:val="center"/>
          </w:tcPr>
          <w:p w:rsidR="00CB2F10" w:rsidRPr="00E54DD0" w:rsidRDefault="00CB2F10" w:rsidP="00D0472A">
            <w:pPr>
              <w:ind w:left="720"/>
              <w:rPr>
                <w:sz w:val="18"/>
                <w:szCs w:val="18"/>
              </w:rPr>
            </w:pPr>
            <w:r w:rsidRPr="00E54DD0">
              <w:rPr>
                <w:sz w:val="18"/>
                <w:szCs w:val="18"/>
              </w:rPr>
              <w:t>Homeless Shelter Deduction</w:t>
            </w:r>
          </w:p>
        </w:tc>
        <w:tc>
          <w:tcPr>
            <w:tcW w:w="1989" w:type="dxa"/>
            <w:tcBorders>
              <w:top w:val="single" w:sz="2" w:space="0" w:color="000000"/>
              <w:bottom w:val="single" w:sz="2" w:space="0" w:color="000000"/>
            </w:tcBorders>
            <w:vAlign w:val="center"/>
          </w:tcPr>
          <w:p w:rsidR="00CB2F10" w:rsidRPr="00E54DD0" w:rsidRDefault="00CB2F10" w:rsidP="00E371C8">
            <w:pPr>
              <w:rPr>
                <w:sz w:val="18"/>
                <w:szCs w:val="18"/>
              </w:rPr>
            </w:pPr>
            <w:r w:rsidRPr="00E54DD0">
              <w:rPr>
                <w:sz w:val="18"/>
                <w:szCs w:val="18"/>
              </w:rPr>
              <w:t>$143</w:t>
            </w:r>
          </w:p>
        </w:tc>
      </w:tr>
      <w:tr w:rsidR="00CB2F10" w:rsidRPr="00D0472A" w:rsidTr="00CF719F">
        <w:trPr>
          <w:trHeight w:val="230"/>
          <w:jc w:val="center"/>
        </w:trPr>
        <w:tc>
          <w:tcPr>
            <w:tcW w:w="5540" w:type="dxa"/>
            <w:tcBorders>
              <w:top w:val="single" w:sz="2" w:space="0" w:color="000000"/>
              <w:bottom w:val="single" w:sz="2" w:space="0" w:color="000000"/>
            </w:tcBorders>
            <w:vAlign w:val="center"/>
          </w:tcPr>
          <w:p w:rsidR="00CB2F10" w:rsidRPr="00E54DD0" w:rsidRDefault="00CB2F10" w:rsidP="00D0472A">
            <w:pPr>
              <w:ind w:left="720"/>
              <w:rPr>
                <w:sz w:val="18"/>
                <w:szCs w:val="18"/>
              </w:rPr>
            </w:pPr>
            <w:r w:rsidRPr="00E54DD0">
              <w:rPr>
                <w:sz w:val="18"/>
                <w:szCs w:val="18"/>
              </w:rPr>
              <w:t>Standard Utility Allowance (SUA)</w:t>
            </w:r>
          </w:p>
        </w:tc>
        <w:tc>
          <w:tcPr>
            <w:tcW w:w="1989" w:type="dxa"/>
            <w:tcBorders>
              <w:top w:val="single" w:sz="2" w:space="0" w:color="000000"/>
              <w:bottom w:val="single" w:sz="2" w:space="0" w:color="000000"/>
            </w:tcBorders>
            <w:vAlign w:val="center"/>
          </w:tcPr>
          <w:p w:rsidR="00CB2F10" w:rsidRPr="00E54DD0" w:rsidRDefault="00CB2F10" w:rsidP="00E371C8">
            <w:pPr>
              <w:rPr>
                <w:sz w:val="18"/>
                <w:szCs w:val="18"/>
              </w:rPr>
            </w:pPr>
            <w:r w:rsidRPr="00E54DD0">
              <w:rPr>
                <w:rFonts w:ascii="Arial" w:hAnsi="Arial" w:cs="Arial"/>
                <w:sz w:val="18"/>
                <w:szCs w:val="18"/>
              </w:rPr>
              <w:t xml:space="preserve">  ▼</w:t>
            </w:r>
          </w:p>
        </w:tc>
      </w:tr>
      <w:tr w:rsidR="00CB2F10" w:rsidRPr="00D0472A" w:rsidTr="00CF719F">
        <w:trPr>
          <w:trHeight w:val="230"/>
          <w:jc w:val="center"/>
        </w:trPr>
        <w:tc>
          <w:tcPr>
            <w:tcW w:w="5540" w:type="dxa"/>
            <w:tcBorders>
              <w:top w:val="single" w:sz="2" w:space="0" w:color="000000"/>
              <w:bottom w:val="single" w:sz="2" w:space="0" w:color="000000"/>
            </w:tcBorders>
            <w:vAlign w:val="center"/>
          </w:tcPr>
          <w:p w:rsidR="00CB2F10" w:rsidRPr="00E54DD0" w:rsidRDefault="00CB2F10" w:rsidP="00D0472A">
            <w:pPr>
              <w:ind w:left="720"/>
              <w:rPr>
                <w:sz w:val="18"/>
                <w:szCs w:val="18"/>
              </w:rPr>
            </w:pPr>
            <w:r w:rsidRPr="00E54DD0">
              <w:rPr>
                <w:sz w:val="18"/>
                <w:szCs w:val="18"/>
              </w:rPr>
              <w:t xml:space="preserve">      Heating &amp; Cooling SUA</w:t>
            </w:r>
          </w:p>
        </w:tc>
        <w:tc>
          <w:tcPr>
            <w:tcW w:w="1989" w:type="dxa"/>
            <w:tcBorders>
              <w:top w:val="single" w:sz="2" w:space="0" w:color="000000"/>
              <w:bottom w:val="single" w:sz="2" w:space="0" w:color="000000"/>
            </w:tcBorders>
            <w:vAlign w:val="center"/>
          </w:tcPr>
          <w:p w:rsidR="00CB2F10" w:rsidRPr="00E54DD0" w:rsidRDefault="000D52BF" w:rsidP="00AB1E5C">
            <w:pPr>
              <w:rPr>
                <w:sz w:val="18"/>
                <w:szCs w:val="18"/>
              </w:rPr>
            </w:pPr>
            <w:r>
              <w:rPr>
                <w:sz w:val="18"/>
                <w:szCs w:val="18"/>
              </w:rPr>
              <w:t>$314</w:t>
            </w:r>
            <w:r w:rsidR="00366F60">
              <w:rPr>
                <w:sz w:val="18"/>
                <w:szCs w:val="18"/>
              </w:rPr>
              <w:t xml:space="preserve"> </w:t>
            </w:r>
          </w:p>
        </w:tc>
      </w:tr>
      <w:tr w:rsidR="00CB2F10" w:rsidRPr="00D0472A" w:rsidTr="00CF719F">
        <w:trPr>
          <w:trHeight w:val="230"/>
          <w:jc w:val="center"/>
        </w:trPr>
        <w:tc>
          <w:tcPr>
            <w:tcW w:w="5540" w:type="dxa"/>
            <w:tcBorders>
              <w:top w:val="single" w:sz="2" w:space="0" w:color="000000"/>
              <w:bottom w:val="single" w:sz="2" w:space="0" w:color="000000"/>
            </w:tcBorders>
            <w:vAlign w:val="center"/>
          </w:tcPr>
          <w:p w:rsidR="00CB2F10" w:rsidRPr="00E54DD0" w:rsidRDefault="00CB2F10" w:rsidP="00D0472A">
            <w:pPr>
              <w:ind w:left="720"/>
              <w:rPr>
                <w:sz w:val="18"/>
                <w:szCs w:val="18"/>
              </w:rPr>
            </w:pPr>
            <w:r w:rsidRPr="00E54DD0">
              <w:rPr>
                <w:sz w:val="18"/>
                <w:szCs w:val="18"/>
              </w:rPr>
              <w:t xml:space="preserve">      Limited SUA</w:t>
            </w:r>
          </w:p>
        </w:tc>
        <w:tc>
          <w:tcPr>
            <w:tcW w:w="1989" w:type="dxa"/>
            <w:tcBorders>
              <w:top w:val="single" w:sz="2" w:space="0" w:color="000000"/>
              <w:bottom w:val="single" w:sz="2" w:space="0" w:color="000000"/>
            </w:tcBorders>
            <w:vAlign w:val="center"/>
          </w:tcPr>
          <w:p w:rsidR="00CB2F10" w:rsidRPr="00E54DD0" w:rsidRDefault="000D52BF" w:rsidP="00E371C8">
            <w:pPr>
              <w:rPr>
                <w:sz w:val="18"/>
                <w:szCs w:val="18"/>
              </w:rPr>
            </w:pPr>
            <w:r>
              <w:rPr>
                <w:sz w:val="18"/>
                <w:szCs w:val="18"/>
              </w:rPr>
              <w:t>$123</w:t>
            </w:r>
          </w:p>
        </w:tc>
      </w:tr>
      <w:tr w:rsidR="00CB2F10" w:rsidRPr="00D0472A" w:rsidTr="00CF719F">
        <w:trPr>
          <w:trHeight w:val="230"/>
          <w:jc w:val="center"/>
        </w:trPr>
        <w:tc>
          <w:tcPr>
            <w:tcW w:w="5540" w:type="dxa"/>
            <w:tcBorders>
              <w:top w:val="single" w:sz="2" w:space="0" w:color="000000"/>
              <w:bottom w:val="single" w:sz="2" w:space="0" w:color="000000"/>
            </w:tcBorders>
            <w:vAlign w:val="center"/>
          </w:tcPr>
          <w:p w:rsidR="00CB2F10" w:rsidRPr="00E54DD0" w:rsidRDefault="00CB2F10" w:rsidP="00D0472A">
            <w:pPr>
              <w:ind w:left="720"/>
              <w:rPr>
                <w:i/>
                <w:iCs/>
                <w:sz w:val="18"/>
                <w:szCs w:val="18"/>
              </w:rPr>
            </w:pPr>
            <w:r w:rsidRPr="00E54DD0">
              <w:rPr>
                <w:i/>
                <w:iCs/>
                <w:sz w:val="18"/>
                <w:szCs w:val="18"/>
              </w:rPr>
              <w:t xml:space="preserve">      </w:t>
            </w:r>
            <w:r w:rsidRPr="00E54DD0">
              <w:rPr>
                <w:iCs/>
                <w:sz w:val="18"/>
                <w:szCs w:val="18"/>
              </w:rPr>
              <w:t>Telephone SUA</w:t>
            </w:r>
          </w:p>
        </w:tc>
        <w:tc>
          <w:tcPr>
            <w:tcW w:w="1989" w:type="dxa"/>
            <w:tcBorders>
              <w:top w:val="single" w:sz="2" w:space="0" w:color="000000"/>
              <w:bottom w:val="single" w:sz="2" w:space="0" w:color="000000"/>
            </w:tcBorders>
            <w:vAlign w:val="center"/>
          </w:tcPr>
          <w:p w:rsidR="00CB2F10" w:rsidRPr="00E54DD0" w:rsidRDefault="00CB2F10" w:rsidP="000D52BF">
            <w:pPr>
              <w:rPr>
                <w:sz w:val="18"/>
                <w:szCs w:val="18"/>
              </w:rPr>
            </w:pPr>
            <w:r w:rsidRPr="00E54DD0">
              <w:rPr>
                <w:sz w:val="18"/>
                <w:szCs w:val="18"/>
              </w:rPr>
              <w:t>$3</w:t>
            </w:r>
            <w:r w:rsidR="000D52BF">
              <w:rPr>
                <w:sz w:val="18"/>
                <w:szCs w:val="18"/>
              </w:rPr>
              <w:t>3</w:t>
            </w:r>
          </w:p>
        </w:tc>
      </w:tr>
    </w:tbl>
    <w:p w:rsidR="00D909C3" w:rsidRDefault="00D909C3" w:rsidP="00D909C3">
      <w:pPr>
        <w:ind w:left="1080"/>
        <w:rPr>
          <w:b/>
        </w:rPr>
      </w:pPr>
    </w:p>
    <w:p w:rsidR="00CB2F10" w:rsidRPr="00D46F1F" w:rsidRDefault="00CB2F10" w:rsidP="00B63C9F">
      <w:pPr>
        <w:pStyle w:val="2NormalBold"/>
        <w:numPr>
          <w:ilvl w:val="0"/>
          <w:numId w:val="1"/>
        </w:numPr>
      </w:pPr>
      <w:bookmarkStart w:id="1" w:name="OLE_LINK1"/>
      <w:bookmarkStart w:id="2" w:name="OLE_LINK2"/>
      <w:r w:rsidRPr="00B63C9F">
        <w:t>State Food Stamp Supplement for the Elderly and Disabled</w:t>
      </w:r>
      <w:bookmarkEnd w:id="1"/>
      <w:bookmarkEnd w:id="2"/>
    </w:p>
    <w:p w:rsidR="00CB2F10" w:rsidRPr="00B63C9F" w:rsidRDefault="00CB2F10" w:rsidP="00B63C9F">
      <w:pPr>
        <w:pStyle w:val="2NormalBold"/>
        <w:tabs>
          <w:tab w:val="clear" w:pos="720"/>
        </w:tabs>
      </w:pPr>
    </w:p>
    <w:p w:rsidR="00CB2F10" w:rsidRPr="00D909C3" w:rsidRDefault="002D7345" w:rsidP="00D909C3">
      <w:pPr>
        <w:widowControl w:val="0"/>
        <w:numPr>
          <w:ilvl w:val="2"/>
          <w:numId w:val="22"/>
        </w:numPr>
        <w:tabs>
          <w:tab w:val="clear" w:pos="2160"/>
        </w:tabs>
        <w:ind w:left="1260"/>
        <w:jc w:val="both"/>
        <w:rPr>
          <w:sz w:val="22"/>
          <w:szCs w:val="22"/>
        </w:rPr>
      </w:pPr>
      <w:r>
        <w:rPr>
          <w:sz w:val="22"/>
          <w:szCs w:val="22"/>
        </w:rPr>
        <w:t>The State Food Stamp Supplement program is aimed at providing the elderly and disabled with increased purchasing power</w:t>
      </w:r>
      <w:r w:rsidR="00F73A99">
        <w:rPr>
          <w:sz w:val="22"/>
          <w:szCs w:val="22"/>
        </w:rPr>
        <w:t>,</w:t>
      </w:r>
      <w:r>
        <w:rPr>
          <w:sz w:val="22"/>
          <w:szCs w:val="22"/>
        </w:rPr>
        <w:t xml:space="preserve"> resulting in better nutrition.  It u</w:t>
      </w:r>
      <w:r w:rsidR="00CB2F10" w:rsidRPr="00D909C3">
        <w:rPr>
          <w:sz w:val="22"/>
          <w:szCs w:val="22"/>
        </w:rPr>
        <w:t xml:space="preserve">ses State Funds to </w:t>
      </w:r>
      <w:r w:rsidR="00D909C3">
        <w:rPr>
          <w:sz w:val="22"/>
          <w:szCs w:val="22"/>
        </w:rPr>
        <w:t>e</w:t>
      </w:r>
      <w:r w:rsidR="00CB2F10" w:rsidRPr="00D909C3">
        <w:rPr>
          <w:sz w:val="22"/>
          <w:szCs w:val="22"/>
        </w:rPr>
        <w:t xml:space="preserve">xtend </w:t>
      </w:r>
      <w:r w:rsidR="00D909C3">
        <w:rPr>
          <w:sz w:val="22"/>
          <w:szCs w:val="22"/>
        </w:rPr>
        <w:t>f</w:t>
      </w:r>
      <w:r w:rsidR="00CB2F10" w:rsidRPr="00D909C3">
        <w:rPr>
          <w:sz w:val="22"/>
          <w:szCs w:val="22"/>
        </w:rPr>
        <w:t xml:space="preserve">ederal </w:t>
      </w:r>
      <w:r>
        <w:rPr>
          <w:sz w:val="22"/>
          <w:szCs w:val="22"/>
        </w:rPr>
        <w:t xml:space="preserve">SNAP </w:t>
      </w:r>
      <w:r w:rsidR="00D909C3">
        <w:rPr>
          <w:sz w:val="22"/>
          <w:szCs w:val="22"/>
        </w:rPr>
        <w:t>b</w:t>
      </w:r>
      <w:r w:rsidR="00CB2F10" w:rsidRPr="00D909C3">
        <w:rPr>
          <w:sz w:val="22"/>
          <w:szCs w:val="22"/>
        </w:rPr>
        <w:t>enefits up to $</w:t>
      </w:r>
      <w:r w:rsidR="003E1332" w:rsidRPr="00D909C3">
        <w:rPr>
          <w:sz w:val="22"/>
          <w:szCs w:val="22"/>
        </w:rPr>
        <w:t>25.00 in</w:t>
      </w:r>
      <w:r w:rsidR="00CB2F10" w:rsidRPr="00D909C3">
        <w:rPr>
          <w:sz w:val="22"/>
          <w:szCs w:val="22"/>
        </w:rPr>
        <w:t xml:space="preserve"> cases where the Federal SNAP benefits fall below $25.  The following must apply:</w:t>
      </w:r>
    </w:p>
    <w:p w:rsidR="00CB2F10" w:rsidRPr="00D909C3" w:rsidRDefault="00CB2F10" w:rsidP="00D909C3">
      <w:pPr>
        <w:widowControl w:val="0"/>
        <w:numPr>
          <w:ilvl w:val="0"/>
          <w:numId w:val="23"/>
        </w:numPr>
        <w:jc w:val="both"/>
        <w:rPr>
          <w:sz w:val="22"/>
          <w:szCs w:val="22"/>
        </w:rPr>
      </w:pPr>
      <w:r w:rsidRPr="00D909C3">
        <w:rPr>
          <w:sz w:val="22"/>
          <w:szCs w:val="22"/>
        </w:rPr>
        <w:t xml:space="preserve">All household members are elderly or disabled as defined in subsection A of 8.139.100.7 NMAC; </w:t>
      </w:r>
    </w:p>
    <w:p w:rsidR="00CB2F10" w:rsidRPr="00D909C3" w:rsidRDefault="00CB2F10" w:rsidP="00D909C3">
      <w:pPr>
        <w:widowControl w:val="0"/>
        <w:numPr>
          <w:ilvl w:val="0"/>
          <w:numId w:val="23"/>
        </w:numPr>
        <w:jc w:val="both"/>
        <w:rPr>
          <w:sz w:val="22"/>
          <w:szCs w:val="22"/>
        </w:rPr>
      </w:pPr>
      <w:r w:rsidRPr="00D909C3">
        <w:rPr>
          <w:sz w:val="22"/>
          <w:szCs w:val="22"/>
        </w:rPr>
        <w:t>All household members qualify and receive federal SNAP; and</w:t>
      </w:r>
    </w:p>
    <w:p w:rsidR="00CB2F10" w:rsidRPr="00D909C3" w:rsidRDefault="00CB2F10" w:rsidP="00D909C3">
      <w:pPr>
        <w:widowControl w:val="0"/>
        <w:numPr>
          <w:ilvl w:val="0"/>
          <w:numId w:val="23"/>
        </w:numPr>
        <w:jc w:val="both"/>
        <w:rPr>
          <w:sz w:val="22"/>
          <w:szCs w:val="22"/>
        </w:rPr>
      </w:pPr>
      <w:r w:rsidRPr="00D909C3">
        <w:rPr>
          <w:sz w:val="22"/>
          <w:szCs w:val="22"/>
        </w:rPr>
        <w:t>The household does not receive earned income.</w:t>
      </w:r>
    </w:p>
    <w:p w:rsidR="00427371" w:rsidRDefault="00427371" w:rsidP="00427371">
      <w:pPr>
        <w:widowControl w:val="0"/>
      </w:pPr>
    </w:p>
    <w:p w:rsidR="00CB2F10" w:rsidRPr="00BF63C2" w:rsidRDefault="00CB2F10" w:rsidP="003C2E0D">
      <w:pPr>
        <w:widowControl w:val="0"/>
        <w:ind w:left="1080"/>
        <w:rPr>
          <w:sz w:val="4"/>
          <w:szCs w:val="4"/>
          <w:highlight w:val="yellow"/>
        </w:rPr>
      </w:pPr>
    </w:p>
    <w:tbl>
      <w:tblPr>
        <w:tblW w:w="8838" w:type="dxa"/>
        <w:tblInd w:w="828" w:type="dxa"/>
        <w:tblBorders>
          <w:top w:val="single" w:sz="12" w:space="0" w:color="008000"/>
          <w:bottom w:val="single" w:sz="12" w:space="0" w:color="008000"/>
        </w:tblBorders>
        <w:tblLook w:val="01E0" w:firstRow="1" w:lastRow="1" w:firstColumn="1" w:lastColumn="1" w:noHBand="0" w:noVBand="0"/>
      </w:tblPr>
      <w:tblGrid>
        <w:gridCol w:w="2250"/>
        <w:gridCol w:w="2146"/>
        <w:gridCol w:w="2240"/>
        <w:gridCol w:w="2202"/>
      </w:tblGrid>
      <w:tr w:rsidR="00CB2F10" w:rsidRPr="00374240" w:rsidTr="00D909C3">
        <w:trPr>
          <w:trHeight w:val="780"/>
        </w:trPr>
        <w:tc>
          <w:tcPr>
            <w:tcW w:w="2250" w:type="dxa"/>
            <w:tcBorders>
              <w:top w:val="single" w:sz="12" w:space="0" w:color="auto"/>
              <w:bottom w:val="single" w:sz="6" w:space="0" w:color="auto"/>
            </w:tcBorders>
            <w:shd w:val="clear" w:color="auto" w:fill="FBD4B4" w:themeFill="accent6" w:themeFillTint="66"/>
            <w:vAlign w:val="center"/>
          </w:tcPr>
          <w:p w:rsidR="00CB2F10" w:rsidRPr="00374240" w:rsidRDefault="00CB2F10" w:rsidP="00D0472A">
            <w:pPr>
              <w:jc w:val="center"/>
              <w:rPr>
                <w:b/>
              </w:rPr>
            </w:pPr>
            <w:r w:rsidRPr="00374240">
              <w:rPr>
                <w:b/>
              </w:rPr>
              <w:t>SFY</w:t>
            </w:r>
          </w:p>
        </w:tc>
        <w:tc>
          <w:tcPr>
            <w:tcW w:w="2146" w:type="dxa"/>
            <w:tcBorders>
              <w:top w:val="single" w:sz="12" w:space="0" w:color="auto"/>
              <w:bottom w:val="single" w:sz="6" w:space="0" w:color="auto"/>
            </w:tcBorders>
            <w:shd w:val="clear" w:color="auto" w:fill="FBD4B4" w:themeFill="accent6" w:themeFillTint="66"/>
            <w:vAlign w:val="center"/>
          </w:tcPr>
          <w:p w:rsidR="00CB2F10" w:rsidRPr="00374240" w:rsidRDefault="006A63B9" w:rsidP="006A63B9">
            <w:pPr>
              <w:jc w:val="center"/>
              <w:rPr>
                <w:b/>
              </w:rPr>
            </w:pPr>
            <w:r>
              <w:rPr>
                <w:b/>
              </w:rPr>
              <w:t xml:space="preserve"> Average M</w:t>
            </w:r>
            <w:r w:rsidR="002D7345">
              <w:rPr>
                <w:b/>
              </w:rPr>
              <w:t xml:space="preserve">onthly </w:t>
            </w:r>
            <w:r w:rsidR="00CB2F10" w:rsidRPr="00374240">
              <w:rPr>
                <w:b/>
              </w:rPr>
              <w:t>Caseload Totals</w:t>
            </w:r>
          </w:p>
        </w:tc>
        <w:tc>
          <w:tcPr>
            <w:tcW w:w="2240" w:type="dxa"/>
            <w:tcBorders>
              <w:top w:val="single" w:sz="12" w:space="0" w:color="auto"/>
              <w:bottom w:val="single" w:sz="6" w:space="0" w:color="auto"/>
            </w:tcBorders>
            <w:shd w:val="clear" w:color="auto" w:fill="FBD4B4" w:themeFill="accent6" w:themeFillTint="66"/>
            <w:vAlign w:val="center"/>
          </w:tcPr>
          <w:p w:rsidR="00CB2F10" w:rsidRPr="00374240" w:rsidRDefault="00CB2F10" w:rsidP="00D0472A">
            <w:pPr>
              <w:jc w:val="center"/>
              <w:rPr>
                <w:b/>
              </w:rPr>
            </w:pPr>
            <w:r w:rsidRPr="00374240">
              <w:rPr>
                <w:b/>
              </w:rPr>
              <w:t xml:space="preserve">Total </w:t>
            </w:r>
            <w:r w:rsidR="006A63B9">
              <w:rPr>
                <w:b/>
              </w:rPr>
              <w:t xml:space="preserve">Yearly </w:t>
            </w:r>
            <w:r w:rsidRPr="00374240">
              <w:rPr>
                <w:b/>
              </w:rPr>
              <w:t>Expenditures</w:t>
            </w:r>
          </w:p>
        </w:tc>
        <w:tc>
          <w:tcPr>
            <w:tcW w:w="2202" w:type="dxa"/>
            <w:tcBorders>
              <w:top w:val="single" w:sz="12" w:space="0" w:color="auto"/>
              <w:bottom w:val="single" w:sz="6" w:space="0" w:color="auto"/>
            </w:tcBorders>
            <w:shd w:val="clear" w:color="auto" w:fill="FBD4B4" w:themeFill="accent6" w:themeFillTint="66"/>
            <w:vAlign w:val="center"/>
          </w:tcPr>
          <w:p w:rsidR="00CB2F10" w:rsidRPr="00374240" w:rsidRDefault="00CB2F10" w:rsidP="00D0472A">
            <w:pPr>
              <w:jc w:val="center"/>
              <w:rPr>
                <w:b/>
              </w:rPr>
            </w:pPr>
            <w:r w:rsidRPr="00374240">
              <w:rPr>
                <w:b/>
              </w:rPr>
              <w:t>Average Monthly Program Costs</w:t>
            </w:r>
          </w:p>
        </w:tc>
      </w:tr>
      <w:tr w:rsidR="002E25F0" w:rsidRPr="00D909C3" w:rsidTr="00CD1EF1">
        <w:trPr>
          <w:trHeight w:val="268"/>
        </w:trPr>
        <w:tc>
          <w:tcPr>
            <w:tcW w:w="2250" w:type="dxa"/>
            <w:tcBorders>
              <w:top w:val="single" w:sz="6" w:space="0" w:color="auto"/>
              <w:bottom w:val="single" w:sz="6" w:space="0" w:color="auto"/>
              <w:right w:val="single" w:sz="6" w:space="0" w:color="auto"/>
            </w:tcBorders>
          </w:tcPr>
          <w:p w:rsidR="002E25F0" w:rsidRPr="006A63B9" w:rsidRDefault="002E25F0" w:rsidP="00427371">
            <w:pPr>
              <w:jc w:val="center"/>
              <w:rPr>
                <w:b/>
                <w:sz w:val="22"/>
                <w:szCs w:val="22"/>
              </w:rPr>
            </w:pPr>
            <w:r w:rsidRPr="006A63B9">
              <w:rPr>
                <w:b/>
                <w:sz w:val="22"/>
                <w:szCs w:val="22"/>
              </w:rPr>
              <w:t>2013</w:t>
            </w:r>
          </w:p>
        </w:tc>
        <w:tc>
          <w:tcPr>
            <w:tcW w:w="2146" w:type="dxa"/>
            <w:tcBorders>
              <w:top w:val="single" w:sz="6" w:space="0" w:color="auto"/>
              <w:left w:val="single" w:sz="6" w:space="0" w:color="auto"/>
              <w:bottom w:val="single" w:sz="6" w:space="0" w:color="auto"/>
              <w:right w:val="single" w:sz="6" w:space="0" w:color="auto"/>
            </w:tcBorders>
          </w:tcPr>
          <w:p w:rsidR="002E25F0" w:rsidRPr="006A63B9" w:rsidRDefault="006A63B9" w:rsidP="00427371">
            <w:pPr>
              <w:jc w:val="center"/>
              <w:rPr>
                <w:sz w:val="22"/>
                <w:szCs w:val="22"/>
              </w:rPr>
            </w:pPr>
            <w:r>
              <w:rPr>
                <w:sz w:val="22"/>
                <w:szCs w:val="22"/>
              </w:rPr>
              <w:t>5,408</w:t>
            </w:r>
          </w:p>
        </w:tc>
        <w:tc>
          <w:tcPr>
            <w:tcW w:w="2240" w:type="dxa"/>
            <w:tcBorders>
              <w:top w:val="single" w:sz="6" w:space="0" w:color="auto"/>
              <w:left w:val="single" w:sz="6" w:space="0" w:color="auto"/>
              <w:bottom w:val="single" w:sz="6" w:space="0" w:color="auto"/>
              <w:right w:val="single" w:sz="6" w:space="0" w:color="auto"/>
            </w:tcBorders>
          </w:tcPr>
          <w:p w:rsidR="002E25F0" w:rsidRPr="006A63B9" w:rsidRDefault="006A63B9" w:rsidP="00427371">
            <w:pPr>
              <w:jc w:val="center"/>
              <w:rPr>
                <w:sz w:val="22"/>
                <w:szCs w:val="22"/>
              </w:rPr>
            </w:pPr>
            <w:r>
              <w:rPr>
                <w:sz w:val="22"/>
                <w:szCs w:val="22"/>
              </w:rPr>
              <w:t>$536,884</w:t>
            </w:r>
          </w:p>
        </w:tc>
        <w:tc>
          <w:tcPr>
            <w:tcW w:w="2202" w:type="dxa"/>
            <w:tcBorders>
              <w:top w:val="single" w:sz="6" w:space="0" w:color="auto"/>
              <w:left w:val="single" w:sz="6" w:space="0" w:color="auto"/>
              <w:bottom w:val="single" w:sz="6" w:space="0" w:color="auto"/>
            </w:tcBorders>
          </w:tcPr>
          <w:p w:rsidR="002E25F0" w:rsidRPr="006A63B9" w:rsidRDefault="006A63B9" w:rsidP="00427371">
            <w:pPr>
              <w:jc w:val="center"/>
              <w:rPr>
                <w:sz w:val="22"/>
                <w:szCs w:val="22"/>
              </w:rPr>
            </w:pPr>
            <w:r w:rsidRPr="006A63B9">
              <w:rPr>
                <w:sz w:val="22"/>
                <w:szCs w:val="22"/>
              </w:rPr>
              <w:t>$44,740</w:t>
            </w:r>
          </w:p>
        </w:tc>
      </w:tr>
      <w:tr w:rsidR="00CD1EF1" w:rsidRPr="00D909C3" w:rsidTr="00CD1EF1">
        <w:trPr>
          <w:trHeight w:val="268"/>
        </w:trPr>
        <w:tc>
          <w:tcPr>
            <w:tcW w:w="2250" w:type="dxa"/>
            <w:tcBorders>
              <w:top w:val="single" w:sz="6" w:space="0" w:color="auto"/>
              <w:bottom w:val="single" w:sz="6" w:space="0" w:color="auto"/>
              <w:right w:val="single" w:sz="6" w:space="0" w:color="auto"/>
            </w:tcBorders>
          </w:tcPr>
          <w:p w:rsidR="00CD1EF1" w:rsidRPr="00D909C3" w:rsidRDefault="00CD1EF1" w:rsidP="002E25F0">
            <w:pPr>
              <w:jc w:val="center"/>
              <w:rPr>
                <w:b/>
              </w:rPr>
            </w:pPr>
            <w:r w:rsidRPr="00D909C3">
              <w:rPr>
                <w:b/>
                <w:sz w:val="22"/>
                <w:szCs w:val="22"/>
              </w:rPr>
              <w:t>2012</w:t>
            </w:r>
          </w:p>
        </w:tc>
        <w:tc>
          <w:tcPr>
            <w:tcW w:w="2146" w:type="dxa"/>
            <w:tcBorders>
              <w:top w:val="single" w:sz="6" w:space="0" w:color="auto"/>
              <w:left w:val="single" w:sz="6" w:space="0" w:color="auto"/>
              <w:bottom w:val="single" w:sz="6" w:space="0" w:color="auto"/>
              <w:right w:val="single" w:sz="6" w:space="0" w:color="auto"/>
            </w:tcBorders>
          </w:tcPr>
          <w:p w:rsidR="00CD1EF1" w:rsidRPr="00D909C3" w:rsidRDefault="002E25F0" w:rsidP="00427371">
            <w:pPr>
              <w:jc w:val="center"/>
            </w:pPr>
            <w:r>
              <w:rPr>
                <w:sz w:val="22"/>
                <w:szCs w:val="22"/>
              </w:rPr>
              <w:t>4,783</w:t>
            </w:r>
          </w:p>
        </w:tc>
        <w:tc>
          <w:tcPr>
            <w:tcW w:w="2240" w:type="dxa"/>
            <w:tcBorders>
              <w:top w:val="single" w:sz="6" w:space="0" w:color="auto"/>
              <w:left w:val="single" w:sz="6" w:space="0" w:color="auto"/>
              <w:bottom w:val="single" w:sz="6" w:space="0" w:color="auto"/>
              <w:right w:val="single" w:sz="6" w:space="0" w:color="auto"/>
            </w:tcBorders>
          </w:tcPr>
          <w:p w:rsidR="00CD1EF1" w:rsidRPr="00D909C3" w:rsidRDefault="002E25F0" w:rsidP="00427371">
            <w:pPr>
              <w:jc w:val="center"/>
            </w:pPr>
            <w:r>
              <w:rPr>
                <w:sz w:val="22"/>
                <w:szCs w:val="22"/>
              </w:rPr>
              <w:t>$465,713</w:t>
            </w:r>
          </w:p>
        </w:tc>
        <w:tc>
          <w:tcPr>
            <w:tcW w:w="2202" w:type="dxa"/>
            <w:tcBorders>
              <w:top w:val="single" w:sz="6" w:space="0" w:color="auto"/>
              <w:left w:val="single" w:sz="6" w:space="0" w:color="auto"/>
              <w:bottom w:val="single" w:sz="6" w:space="0" w:color="auto"/>
            </w:tcBorders>
          </w:tcPr>
          <w:p w:rsidR="00CD1EF1" w:rsidRPr="00D909C3" w:rsidRDefault="002E25F0" w:rsidP="00427371">
            <w:pPr>
              <w:jc w:val="center"/>
            </w:pPr>
            <w:r>
              <w:rPr>
                <w:sz w:val="22"/>
                <w:szCs w:val="22"/>
              </w:rPr>
              <w:t>$38,809</w:t>
            </w:r>
          </w:p>
        </w:tc>
      </w:tr>
      <w:tr w:rsidR="00CD1EF1" w:rsidRPr="00D909C3" w:rsidTr="00CD1EF1">
        <w:trPr>
          <w:trHeight w:val="268"/>
        </w:trPr>
        <w:tc>
          <w:tcPr>
            <w:tcW w:w="2250" w:type="dxa"/>
            <w:tcBorders>
              <w:top w:val="single" w:sz="6" w:space="0" w:color="auto"/>
              <w:bottom w:val="single" w:sz="6" w:space="0" w:color="auto"/>
              <w:right w:val="single" w:sz="6" w:space="0" w:color="auto"/>
            </w:tcBorders>
          </w:tcPr>
          <w:p w:rsidR="00CD1EF1" w:rsidRPr="00D909C3" w:rsidRDefault="00CD1EF1" w:rsidP="00427371">
            <w:pPr>
              <w:jc w:val="center"/>
              <w:rPr>
                <w:b/>
              </w:rPr>
            </w:pPr>
            <w:r w:rsidRPr="00D909C3">
              <w:rPr>
                <w:b/>
                <w:sz w:val="22"/>
                <w:szCs w:val="22"/>
              </w:rPr>
              <w:t>2011</w:t>
            </w:r>
          </w:p>
        </w:tc>
        <w:tc>
          <w:tcPr>
            <w:tcW w:w="2146" w:type="dxa"/>
            <w:tcBorders>
              <w:top w:val="single" w:sz="6" w:space="0" w:color="auto"/>
              <w:left w:val="single" w:sz="6" w:space="0" w:color="auto"/>
              <w:bottom w:val="single" w:sz="6" w:space="0" w:color="auto"/>
              <w:right w:val="single" w:sz="6" w:space="0" w:color="auto"/>
            </w:tcBorders>
          </w:tcPr>
          <w:p w:rsidR="00CD1EF1" w:rsidRPr="00D909C3" w:rsidRDefault="00CD1EF1" w:rsidP="00427371">
            <w:pPr>
              <w:jc w:val="center"/>
            </w:pPr>
            <w:r w:rsidRPr="00D909C3">
              <w:rPr>
                <w:sz w:val="22"/>
                <w:szCs w:val="22"/>
              </w:rPr>
              <w:t>4,193</w:t>
            </w:r>
          </w:p>
        </w:tc>
        <w:tc>
          <w:tcPr>
            <w:tcW w:w="2240" w:type="dxa"/>
            <w:tcBorders>
              <w:top w:val="single" w:sz="6" w:space="0" w:color="auto"/>
              <w:left w:val="single" w:sz="6" w:space="0" w:color="auto"/>
              <w:bottom w:val="single" w:sz="6" w:space="0" w:color="auto"/>
              <w:right w:val="single" w:sz="6" w:space="0" w:color="auto"/>
            </w:tcBorders>
          </w:tcPr>
          <w:p w:rsidR="00CD1EF1" w:rsidRPr="00D909C3" w:rsidRDefault="00CD1EF1" w:rsidP="00427371">
            <w:pPr>
              <w:jc w:val="center"/>
            </w:pPr>
            <w:r w:rsidRPr="00D909C3">
              <w:rPr>
                <w:sz w:val="22"/>
                <w:szCs w:val="22"/>
              </w:rPr>
              <w:t>$505,470</w:t>
            </w:r>
          </w:p>
        </w:tc>
        <w:tc>
          <w:tcPr>
            <w:tcW w:w="2202" w:type="dxa"/>
            <w:tcBorders>
              <w:top w:val="single" w:sz="6" w:space="0" w:color="auto"/>
              <w:left w:val="single" w:sz="6" w:space="0" w:color="auto"/>
              <w:bottom w:val="single" w:sz="6" w:space="0" w:color="auto"/>
            </w:tcBorders>
          </w:tcPr>
          <w:p w:rsidR="00CD1EF1" w:rsidRPr="00D909C3" w:rsidRDefault="00CD1EF1" w:rsidP="00427371">
            <w:pPr>
              <w:jc w:val="center"/>
            </w:pPr>
            <w:r w:rsidRPr="00D909C3">
              <w:rPr>
                <w:sz w:val="22"/>
                <w:szCs w:val="22"/>
              </w:rPr>
              <w:t>$42,123</w:t>
            </w:r>
          </w:p>
        </w:tc>
      </w:tr>
      <w:tr w:rsidR="00CB2F10" w:rsidRPr="00D909C3" w:rsidTr="00CD1EF1">
        <w:trPr>
          <w:trHeight w:val="268"/>
        </w:trPr>
        <w:tc>
          <w:tcPr>
            <w:tcW w:w="2250" w:type="dxa"/>
            <w:tcBorders>
              <w:top w:val="single" w:sz="6" w:space="0" w:color="auto"/>
              <w:bottom w:val="single" w:sz="6" w:space="0" w:color="auto"/>
              <w:right w:val="single" w:sz="6" w:space="0" w:color="auto"/>
            </w:tcBorders>
          </w:tcPr>
          <w:p w:rsidR="00CB2F10" w:rsidRPr="00D909C3" w:rsidRDefault="00CB2F10" w:rsidP="00CD1EF1">
            <w:pPr>
              <w:jc w:val="center"/>
              <w:rPr>
                <w:b/>
              </w:rPr>
            </w:pPr>
            <w:r w:rsidRPr="00D909C3">
              <w:rPr>
                <w:b/>
                <w:sz w:val="22"/>
                <w:szCs w:val="22"/>
              </w:rPr>
              <w:t xml:space="preserve">2010 </w:t>
            </w:r>
          </w:p>
        </w:tc>
        <w:tc>
          <w:tcPr>
            <w:tcW w:w="2146" w:type="dxa"/>
            <w:tcBorders>
              <w:top w:val="single" w:sz="6" w:space="0" w:color="auto"/>
              <w:left w:val="single" w:sz="6" w:space="0" w:color="auto"/>
              <w:bottom w:val="single" w:sz="6" w:space="0" w:color="auto"/>
              <w:right w:val="single" w:sz="6" w:space="0" w:color="auto"/>
            </w:tcBorders>
          </w:tcPr>
          <w:p w:rsidR="00CB2F10" w:rsidRPr="00D909C3" w:rsidRDefault="00CD1EF1" w:rsidP="00427371">
            <w:pPr>
              <w:jc w:val="center"/>
            </w:pPr>
            <w:r w:rsidRPr="00D909C3">
              <w:rPr>
                <w:sz w:val="22"/>
                <w:szCs w:val="22"/>
              </w:rPr>
              <w:t>3,682</w:t>
            </w:r>
          </w:p>
        </w:tc>
        <w:tc>
          <w:tcPr>
            <w:tcW w:w="2240" w:type="dxa"/>
            <w:tcBorders>
              <w:top w:val="single" w:sz="6" w:space="0" w:color="auto"/>
              <w:left w:val="single" w:sz="6" w:space="0" w:color="auto"/>
              <w:bottom w:val="single" w:sz="6" w:space="0" w:color="auto"/>
              <w:right w:val="single" w:sz="6" w:space="0" w:color="auto"/>
            </w:tcBorders>
          </w:tcPr>
          <w:p w:rsidR="00CB2F10" w:rsidRPr="00D909C3" w:rsidRDefault="00CB2F10" w:rsidP="00CD1EF1">
            <w:pPr>
              <w:jc w:val="center"/>
            </w:pPr>
            <w:r w:rsidRPr="00D909C3">
              <w:rPr>
                <w:sz w:val="22"/>
                <w:szCs w:val="22"/>
              </w:rPr>
              <w:t>$</w:t>
            </w:r>
            <w:r w:rsidR="00CD1EF1" w:rsidRPr="00D909C3">
              <w:rPr>
                <w:sz w:val="22"/>
                <w:szCs w:val="22"/>
              </w:rPr>
              <w:t>531,950</w:t>
            </w:r>
          </w:p>
        </w:tc>
        <w:tc>
          <w:tcPr>
            <w:tcW w:w="2202" w:type="dxa"/>
            <w:tcBorders>
              <w:top w:val="single" w:sz="6" w:space="0" w:color="auto"/>
              <w:left w:val="single" w:sz="6" w:space="0" w:color="auto"/>
              <w:bottom w:val="single" w:sz="6" w:space="0" w:color="auto"/>
            </w:tcBorders>
          </w:tcPr>
          <w:p w:rsidR="00CB2F10" w:rsidRPr="00D909C3" w:rsidRDefault="00CB2F10" w:rsidP="00CD1EF1">
            <w:pPr>
              <w:jc w:val="center"/>
            </w:pPr>
            <w:r w:rsidRPr="00D909C3">
              <w:rPr>
                <w:sz w:val="22"/>
                <w:szCs w:val="22"/>
              </w:rPr>
              <w:t>$</w:t>
            </w:r>
            <w:r w:rsidR="00CD1EF1" w:rsidRPr="00D909C3">
              <w:rPr>
                <w:sz w:val="22"/>
                <w:szCs w:val="22"/>
              </w:rPr>
              <w:t>44,329</w:t>
            </w:r>
          </w:p>
        </w:tc>
      </w:tr>
      <w:tr w:rsidR="00CB2F10" w:rsidRPr="00D909C3" w:rsidTr="00CD1EF1">
        <w:trPr>
          <w:trHeight w:val="268"/>
        </w:trPr>
        <w:tc>
          <w:tcPr>
            <w:tcW w:w="2250" w:type="dxa"/>
            <w:tcBorders>
              <w:top w:val="single" w:sz="6" w:space="0" w:color="auto"/>
              <w:bottom w:val="single" w:sz="6" w:space="0" w:color="auto"/>
              <w:right w:val="single" w:sz="6" w:space="0" w:color="auto"/>
            </w:tcBorders>
          </w:tcPr>
          <w:p w:rsidR="00CB2F10" w:rsidRPr="00D909C3" w:rsidRDefault="00CB2F10" w:rsidP="00D0472A">
            <w:pPr>
              <w:jc w:val="center"/>
              <w:rPr>
                <w:b/>
              </w:rPr>
            </w:pPr>
            <w:r w:rsidRPr="00D909C3">
              <w:rPr>
                <w:b/>
                <w:sz w:val="22"/>
                <w:szCs w:val="22"/>
              </w:rPr>
              <w:t xml:space="preserve">2009 </w:t>
            </w:r>
          </w:p>
        </w:tc>
        <w:tc>
          <w:tcPr>
            <w:tcW w:w="2146" w:type="dxa"/>
            <w:tcBorders>
              <w:top w:val="single" w:sz="6" w:space="0" w:color="auto"/>
              <w:left w:val="single" w:sz="6" w:space="0" w:color="auto"/>
              <w:bottom w:val="single" w:sz="6" w:space="0" w:color="auto"/>
              <w:right w:val="single" w:sz="6" w:space="0" w:color="auto"/>
            </w:tcBorders>
          </w:tcPr>
          <w:p w:rsidR="00CB2F10" w:rsidRPr="00D909C3" w:rsidRDefault="00CB2F10" w:rsidP="00D0472A">
            <w:pPr>
              <w:jc w:val="center"/>
            </w:pPr>
            <w:r w:rsidRPr="00D909C3">
              <w:rPr>
                <w:sz w:val="22"/>
                <w:szCs w:val="22"/>
              </w:rPr>
              <w:t>4,654</w:t>
            </w:r>
          </w:p>
        </w:tc>
        <w:tc>
          <w:tcPr>
            <w:tcW w:w="2240" w:type="dxa"/>
            <w:tcBorders>
              <w:top w:val="single" w:sz="6" w:space="0" w:color="auto"/>
              <w:left w:val="single" w:sz="6" w:space="0" w:color="auto"/>
              <w:bottom w:val="single" w:sz="6" w:space="0" w:color="auto"/>
              <w:right w:val="single" w:sz="6" w:space="0" w:color="auto"/>
            </w:tcBorders>
          </w:tcPr>
          <w:p w:rsidR="00CB2F10" w:rsidRPr="00D909C3" w:rsidRDefault="00CB2F10" w:rsidP="00D0472A">
            <w:pPr>
              <w:jc w:val="center"/>
            </w:pPr>
            <w:r w:rsidRPr="00D909C3">
              <w:rPr>
                <w:sz w:val="22"/>
                <w:szCs w:val="22"/>
              </w:rPr>
              <w:t>$493,153</w:t>
            </w:r>
          </w:p>
        </w:tc>
        <w:tc>
          <w:tcPr>
            <w:tcW w:w="2202" w:type="dxa"/>
            <w:tcBorders>
              <w:top w:val="single" w:sz="6" w:space="0" w:color="auto"/>
              <w:left w:val="single" w:sz="6" w:space="0" w:color="auto"/>
              <w:bottom w:val="single" w:sz="6" w:space="0" w:color="auto"/>
            </w:tcBorders>
          </w:tcPr>
          <w:p w:rsidR="00CB2F10" w:rsidRPr="00D909C3" w:rsidRDefault="00CB2F10" w:rsidP="00D0472A">
            <w:pPr>
              <w:jc w:val="center"/>
            </w:pPr>
            <w:r w:rsidRPr="00D909C3">
              <w:rPr>
                <w:sz w:val="22"/>
                <w:szCs w:val="22"/>
              </w:rPr>
              <w:t>$41,096</w:t>
            </w:r>
          </w:p>
        </w:tc>
      </w:tr>
      <w:tr w:rsidR="00CB2F10" w:rsidRPr="00D909C3" w:rsidTr="00CD1EF1">
        <w:trPr>
          <w:trHeight w:val="254"/>
        </w:trPr>
        <w:tc>
          <w:tcPr>
            <w:tcW w:w="2250" w:type="dxa"/>
            <w:tcBorders>
              <w:top w:val="single" w:sz="6" w:space="0" w:color="auto"/>
              <w:bottom w:val="single" w:sz="6" w:space="0" w:color="auto"/>
              <w:right w:val="single" w:sz="6" w:space="0" w:color="auto"/>
            </w:tcBorders>
          </w:tcPr>
          <w:p w:rsidR="00CB2F10" w:rsidRPr="00D909C3" w:rsidRDefault="00CB2F10" w:rsidP="00D0472A">
            <w:pPr>
              <w:jc w:val="center"/>
              <w:rPr>
                <w:b/>
              </w:rPr>
            </w:pPr>
            <w:r w:rsidRPr="00D909C3">
              <w:rPr>
                <w:b/>
                <w:sz w:val="22"/>
                <w:szCs w:val="22"/>
              </w:rPr>
              <w:t>2008</w:t>
            </w:r>
          </w:p>
        </w:tc>
        <w:tc>
          <w:tcPr>
            <w:tcW w:w="2146" w:type="dxa"/>
            <w:tcBorders>
              <w:top w:val="single" w:sz="6" w:space="0" w:color="auto"/>
              <w:left w:val="single" w:sz="6" w:space="0" w:color="auto"/>
              <w:bottom w:val="single" w:sz="6" w:space="0" w:color="auto"/>
              <w:right w:val="single" w:sz="6" w:space="0" w:color="auto"/>
            </w:tcBorders>
          </w:tcPr>
          <w:p w:rsidR="00CB2F10" w:rsidRPr="00D909C3" w:rsidRDefault="00CB2F10" w:rsidP="00D0472A">
            <w:pPr>
              <w:jc w:val="center"/>
              <w:rPr>
                <w:b/>
              </w:rPr>
            </w:pPr>
            <w:r w:rsidRPr="00D909C3">
              <w:rPr>
                <w:sz w:val="22"/>
                <w:szCs w:val="22"/>
              </w:rPr>
              <w:t>5,485</w:t>
            </w:r>
          </w:p>
        </w:tc>
        <w:tc>
          <w:tcPr>
            <w:tcW w:w="2240" w:type="dxa"/>
            <w:tcBorders>
              <w:top w:val="single" w:sz="6" w:space="0" w:color="auto"/>
              <w:left w:val="single" w:sz="6" w:space="0" w:color="auto"/>
              <w:bottom w:val="single" w:sz="6" w:space="0" w:color="auto"/>
              <w:right w:val="single" w:sz="6" w:space="0" w:color="auto"/>
            </w:tcBorders>
          </w:tcPr>
          <w:p w:rsidR="00CB2F10" w:rsidRPr="00D909C3" w:rsidRDefault="00CB2F10" w:rsidP="00D0472A">
            <w:pPr>
              <w:jc w:val="center"/>
              <w:rPr>
                <w:b/>
              </w:rPr>
            </w:pPr>
            <w:r w:rsidRPr="00D909C3">
              <w:rPr>
                <w:sz w:val="22"/>
                <w:szCs w:val="22"/>
              </w:rPr>
              <w:t>$623,011</w:t>
            </w:r>
          </w:p>
        </w:tc>
        <w:tc>
          <w:tcPr>
            <w:tcW w:w="2202" w:type="dxa"/>
            <w:tcBorders>
              <w:top w:val="single" w:sz="6" w:space="0" w:color="auto"/>
              <w:left w:val="single" w:sz="6" w:space="0" w:color="auto"/>
              <w:bottom w:val="single" w:sz="6" w:space="0" w:color="auto"/>
            </w:tcBorders>
          </w:tcPr>
          <w:p w:rsidR="00CB2F10" w:rsidRPr="00D909C3" w:rsidRDefault="00CB2F10" w:rsidP="00D0472A">
            <w:pPr>
              <w:jc w:val="center"/>
              <w:rPr>
                <w:b/>
              </w:rPr>
            </w:pPr>
            <w:r w:rsidRPr="00D909C3">
              <w:rPr>
                <w:sz w:val="22"/>
                <w:szCs w:val="22"/>
              </w:rPr>
              <w:t>$51,918</w:t>
            </w:r>
          </w:p>
        </w:tc>
      </w:tr>
    </w:tbl>
    <w:p w:rsidR="003E1332" w:rsidRPr="00CF21D5" w:rsidRDefault="003E1332" w:rsidP="006A63B9">
      <w:pPr>
        <w:autoSpaceDE w:val="0"/>
        <w:autoSpaceDN w:val="0"/>
        <w:adjustRightInd w:val="0"/>
        <w:ind w:left="720"/>
        <w:rPr>
          <w:b/>
          <w:sz w:val="16"/>
          <w:szCs w:val="16"/>
        </w:rPr>
      </w:pPr>
      <w:r w:rsidRPr="00CF21D5">
        <w:rPr>
          <w:b/>
          <w:sz w:val="16"/>
          <w:szCs w:val="16"/>
        </w:rPr>
        <w:t>*</w:t>
      </w:r>
      <w:r w:rsidR="006A63B9" w:rsidRPr="00CF21D5">
        <w:rPr>
          <w:b/>
          <w:sz w:val="16"/>
          <w:szCs w:val="16"/>
        </w:rPr>
        <w:t xml:space="preserve">Since the minimum SNAP allotment decreased </w:t>
      </w:r>
      <w:r w:rsidR="00CF21D5" w:rsidRPr="00CF21D5">
        <w:rPr>
          <w:b/>
          <w:sz w:val="16"/>
          <w:szCs w:val="16"/>
        </w:rPr>
        <w:t xml:space="preserve">this past </w:t>
      </w:r>
      <w:r w:rsidR="006A63B9" w:rsidRPr="00CF21D5">
        <w:rPr>
          <w:b/>
          <w:sz w:val="16"/>
          <w:szCs w:val="16"/>
        </w:rPr>
        <w:t xml:space="preserve">November from $16 to $15, the State Supplement </w:t>
      </w:r>
      <w:r w:rsidR="00CF21D5" w:rsidRPr="00CF21D5">
        <w:rPr>
          <w:b/>
          <w:sz w:val="16"/>
          <w:szCs w:val="16"/>
        </w:rPr>
        <w:t>allotment</w:t>
      </w:r>
      <w:r w:rsidR="006A63B9" w:rsidRPr="00CF21D5">
        <w:rPr>
          <w:b/>
          <w:sz w:val="16"/>
          <w:szCs w:val="16"/>
        </w:rPr>
        <w:t xml:space="preserve"> </w:t>
      </w:r>
      <w:r w:rsidR="00CF21D5" w:rsidRPr="00CF21D5">
        <w:rPr>
          <w:b/>
          <w:sz w:val="16"/>
          <w:szCs w:val="16"/>
        </w:rPr>
        <w:t>has</w:t>
      </w:r>
      <w:r w:rsidR="006A63B9" w:rsidRPr="00CF21D5">
        <w:rPr>
          <w:b/>
          <w:sz w:val="16"/>
          <w:szCs w:val="16"/>
        </w:rPr>
        <w:t xml:space="preserve"> increase</w:t>
      </w:r>
      <w:r w:rsidR="00CF21D5" w:rsidRPr="00CF21D5">
        <w:rPr>
          <w:b/>
          <w:sz w:val="16"/>
          <w:szCs w:val="16"/>
        </w:rPr>
        <w:t>d</w:t>
      </w:r>
      <w:r w:rsidR="006A63B9" w:rsidRPr="00CF21D5">
        <w:rPr>
          <w:b/>
          <w:sz w:val="16"/>
          <w:szCs w:val="16"/>
        </w:rPr>
        <w:t xml:space="preserve"> from $9 to $10</w:t>
      </w:r>
      <w:r w:rsidRPr="00CF21D5">
        <w:rPr>
          <w:b/>
          <w:sz w:val="16"/>
          <w:szCs w:val="16"/>
        </w:rPr>
        <w:t>.</w:t>
      </w:r>
    </w:p>
    <w:p w:rsidR="00CB2F10" w:rsidRPr="00CF21D5" w:rsidRDefault="00CF21D5" w:rsidP="00CF21D5">
      <w:pPr>
        <w:pStyle w:val="2NormalBold"/>
        <w:tabs>
          <w:tab w:val="clear" w:pos="720"/>
          <w:tab w:val="left" w:pos="1695"/>
        </w:tabs>
        <w:ind w:left="0" w:firstLine="0"/>
      </w:pPr>
      <w:r w:rsidRPr="00CF21D5">
        <w:tab/>
      </w:r>
    </w:p>
    <w:p w:rsidR="00CB2F10" w:rsidRPr="00D909C3" w:rsidRDefault="00CB2F10" w:rsidP="00841843">
      <w:pPr>
        <w:pStyle w:val="Boldarrow"/>
        <w:numPr>
          <w:ilvl w:val="0"/>
          <w:numId w:val="1"/>
        </w:numPr>
        <w:rPr>
          <w:sz w:val="22"/>
          <w:szCs w:val="22"/>
        </w:rPr>
      </w:pPr>
      <w:r w:rsidRPr="00D909C3">
        <w:rPr>
          <w:sz w:val="22"/>
          <w:szCs w:val="22"/>
        </w:rPr>
        <w:t xml:space="preserve">New Mexico Modified Combined Application </w:t>
      </w:r>
      <w:r w:rsidR="00841843">
        <w:rPr>
          <w:sz w:val="22"/>
          <w:szCs w:val="22"/>
        </w:rPr>
        <w:t xml:space="preserve">(NMCAP) </w:t>
      </w:r>
      <w:r w:rsidRPr="00D909C3">
        <w:rPr>
          <w:sz w:val="22"/>
          <w:szCs w:val="22"/>
        </w:rPr>
        <w:t>Project - Began June 1, 2009</w:t>
      </w:r>
    </w:p>
    <w:p w:rsidR="00CB2F10" w:rsidRPr="00D909C3" w:rsidRDefault="00CB2F10" w:rsidP="00B63C9F">
      <w:pPr>
        <w:pStyle w:val="2NormalBold"/>
        <w:tabs>
          <w:tab w:val="clear" w:pos="720"/>
        </w:tabs>
        <w:ind w:left="0" w:firstLine="0"/>
        <w:rPr>
          <w:sz w:val="22"/>
          <w:szCs w:val="22"/>
        </w:rPr>
      </w:pPr>
    </w:p>
    <w:p w:rsidR="003E5280" w:rsidRPr="003E5280" w:rsidRDefault="003E5280" w:rsidP="003E5280">
      <w:pPr>
        <w:numPr>
          <w:ilvl w:val="1"/>
          <w:numId w:val="31"/>
        </w:numPr>
        <w:autoSpaceDE w:val="0"/>
        <w:autoSpaceDN w:val="0"/>
        <w:ind w:left="1260"/>
        <w:jc w:val="both"/>
        <w:rPr>
          <w:b/>
          <w:bCs/>
          <w:strike/>
        </w:rPr>
      </w:pPr>
      <w:r w:rsidRPr="003E5280">
        <w:t>NMCAP, an alternative to SNAP, is authorized by a state demonstration project via a partnership with the Food and Nutrition Services (FNP) and the Social Security Administration (SSI).  This program offers increased access to nutritional benefits for elderly and disabled populations receiving SSI.  Qualified recipients of NMCAP receive benefits for a longer period of time (three years) bef</w:t>
      </w:r>
      <w:r w:rsidR="00B322DC">
        <w:t>ore recertification is required.</w:t>
      </w:r>
    </w:p>
    <w:p w:rsidR="00CB2F10" w:rsidRPr="00D909C3" w:rsidRDefault="00B66D76" w:rsidP="00841843">
      <w:pPr>
        <w:numPr>
          <w:ilvl w:val="1"/>
          <w:numId w:val="29"/>
        </w:numPr>
        <w:autoSpaceDE w:val="0"/>
        <w:autoSpaceDN w:val="0"/>
        <w:adjustRightInd w:val="0"/>
        <w:ind w:left="1260"/>
        <w:rPr>
          <w:b/>
          <w:sz w:val="22"/>
          <w:szCs w:val="22"/>
        </w:rPr>
      </w:pPr>
      <w:r>
        <w:rPr>
          <w:sz w:val="22"/>
          <w:szCs w:val="22"/>
        </w:rPr>
        <w:t>As of December 2012,</w:t>
      </w:r>
      <w:r w:rsidR="00CB2F10" w:rsidRPr="00D909C3">
        <w:rPr>
          <w:sz w:val="22"/>
          <w:szCs w:val="22"/>
        </w:rPr>
        <w:t xml:space="preserve"> </w:t>
      </w:r>
      <w:r w:rsidR="00CD1EF1" w:rsidRPr="00D909C3">
        <w:rPr>
          <w:sz w:val="22"/>
          <w:szCs w:val="22"/>
        </w:rPr>
        <w:t>6</w:t>
      </w:r>
      <w:r>
        <w:rPr>
          <w:sz w:val="22"/>
          <w:szCs w:val="22"/>
        </w:rPr>
        <w:t>3</w:t>
      </w:r>
      <w:r w:rsidR="00CD1EF1" w:rsidRPr="00D909C3">
        <w:rPr>
          <w:sz w:val="22"/>
          <w:szCs w:val="22"/>
        </w:rPr>
        <w:t>,</w:t>
      </w:r>
      <w:r>
        <w:rPr>
          <w:sz w:val="22"/>
          <w:szCs w:val="22"/>
        </w:rPr>
        <w:t>4</w:t>
      </w:r>
      <w:r w:rsidR="00CD1EF1" w:rsidRPr="00D909C3">
        <w:rPr>
          <w:sz w:val="22"/>
          <w:szCs w:val="22"/>
        </w:rPr>
        <w:t>00</w:t>
      </w:r>
      <w:r w:rsidR="00CB2F10" w:rsidRPr="00D909C3">
        <w:rPr>
          <w:sz w:val="22"/>
          <w:szCs w:val="22"/>
        </w:rPr>
        <w:t xml:space="preserve"> New Mexican</w:t>
      </w:r>
      <w:r w:rsidR="00CD1EF1" w:rsidRPr="00D909C3">
        <w:rPr>
          <w:sz w:val="22"/>
          <w:szCs w:val="22"/>
        </w:rPr>
        <w:t>s</w:t>
      </w:r>
      <w:r w:rsidR="00FD7D2D" w:rsidRPr="00D909C3">
        <w:rPr>
          <w:sz w:val="22"/>
          <w:szCs w:val="22"/>
        </w:rPr>
        <w:t xml:space="preserve"> </w:t>
      </w:r>
      <w:r w:rsidR="00CB2F10" w:rsidRPr="00D909C3">
        <w:rPr>
          <w:sz w:val="22"/>
          <w:szCs w:val="22"/>
        </w:rPr>
        <w:t>receive SSI</w:t>
      </w:r>
      <w:r w:rsidR="00841843">
        <w:rPr>
          <w:sz w:val="22"/>
          <w:szCs w:val="22"/>
        </w:rPr>
        <w:t>.</w:t>
      </w:r>
    </w:p>
    <w:p w:rsidR="00CB2F10" w:rsidRPr="00841843" w:rsidRDefault="00CB2F10" w:rsidP="00841843">
      <w:pPr>
        <w:numPr>
          <w:ilvl w:val="1"/>
          <w:numId w:val="29"/>
        </w:numPr>
        <w:autoSpaceDE w:val="0"/>
        <w:autoSpaceDN w:val="0"/>
        <w:adjustRightInd w:val="0"/>
        <w:ind w:left="1260"/>
        <w:rPr>
          <w:sz w:val="22"/>
          <w:szCs w:val="22"/>
        </w:rPr>
      </w:pPr>
      <w:r w:rsidRPr="00841843">
        <w:rPr>
          <w:sz w:val="22"/>
          <w:szCs w:val="22"/>
        </w:rPr>
        <w:t xml:space="preserve">New Mexico </w:t>
      </w:r>
      <w:r w:rsidR="00B66D76">
        <w:rPr>
          <w:sz w:val="22"/>
          <w:szCs w:val="22"/>
        </w:rPr>
        <w:t>was</w:t>
      </w:r>
      <w:r w:rsidR="008B07E6">
        <w:rPr>
          <w:sz w:val="22"/>
          <w:szCs w:val="22"/>
        </w:rPr>
        <w:t xml:space="preserve"> the fir</w:t>
      </w:r>
      <w:r w:rsidRPr="00841843">
        <w:rPr>
          <w:sz w:val="22"/>
          <w:szCs w:val="22"/>
        </w:rPr>
        <w:t>st Modified CAP (verify SSI with SSA interface) state to offer a program for clients age 22 and older.</w:t>
      </w:r>
    </w:p>
    <w:p w:rsidR="00CB2F10" w:rsidRPr="00841843" w:rsidRDefault="00F73A99" w:rsidP="0026227C">
      <w:pPr>
        <w:rPr>
          <w:sz w:val="22"/>
          <w:szCs w:val="22"/>
        </w:rPr>
      </w:pPr>
      <w:r>
        <w:rPr>
          <w:sz w:val="22"/>
          <w:szCs w:val="22"/>
        </w:rPr>
        <w:br w:type="page"/>
      </w:r>
      <w:r w:rsidR="00CB2F10" w:rsidRPr="00841843">
        <w:rPr>
          <w:sz w:val="22"/>
          <w:szCs w:val="22"/>
        </w:rPr>
        <w:lastRenderedPageBreak/>
        <w:t>Eligible households:</w:t>
      </w:r>
    </w:p>
    <w:p w:rsidR="00CB2F10" w:rsidRPr="00D909C3" w:rsidRDefault="00B66D76" w:rsidP="00841843">
      <w:pPr>
        <w:numPr>
          <w:ilvl w:val="2"/>
          <w:numId w:val="30"/>
        </w:numPr>
        <w:ind w:left="1620"/>
        <w:rPr>
          <w:sz w:val="22"/>
          <w:szCs w:val="22"/>
        </w:rPr>
      </w:pPr>
      <w:r>
        <w:rPr>
          <w:sz w:val="22"/>
          <w:szCs w:val="22"/>
        </w:rPr>
        <w:t>R</w:t>
      </w:r>
      <w:r w:rsidR="00CB2F10" w:rsidRPr="00D909C3">
        <w:rPr>
          <w:sz w:val="22"/>
          <w:szCs w:val="22"/>
        </w:rPr>
        <w:t>eceives federal SSI benefits;</w:t>
      </w:r>
    </w:p>
    <w:p w:rsidR="00CB2F10" w:rsidRPr="00D909C3" w:rsidRDefault="00B66D76" w:rsidP="00841843">
      <w:pPr>
        <w:numPr>
          <w:ilvl w:val="2"/>
          <w:numId w:val="30"/>
        </w:numPr>
        <w:ind w:left="1620"/>
        <w:rPr>
          <w:sz w:val="22"/>
          <w:szCs w:val="22"/>
        </w:rPr>
      </w:pPr>
      <w:r>
        <w:rPr>
          <w:sz w:val="22"/>
          <w:szCs w:val="22"/>
        </w:rPr>
        <w:t>T</w:t>
      </w:r>
      <w:r w:rsidR="00CB2F10" w:rsidRPr="00D909C3">
        <w:rPr>
          <w:sz w:val="22"/>
          <w:szCs w:val="22"/>
        </w:rPr>
        <w:t>wenty-two years of age or older;</w:t>
      </w:r>
    </w:p>
    <w:p w:rsidR="00CB2F10" w:rsidRPr="00D909C3" w:rsidRDefault="00B66D76" w:rsidP="00841843">
      <w:pPr>
        <w:numPr>
          <w:ilvl w:val="2"/>
          <w:numId w:val="30"/>
        </w:numPr>
        <w:ind w:left="1620"/>
        <w:rPr>
          <w:sz w:val="22"/>
          <w:szCs w:val="22"/>
        </w:rPr>
      </w:pPr>
      <w:r>
        <w:rPr>
          <w:sz w:val="22"/>
          <w:szCs w:val="22"/>
        </w:rPr>
        <w:t>E</w:t>
      </w:r>
      <w:r w:rsidR="00CB2F10" w:rsidRPr="00D909C3">
        <w:rPr>
          <w:sz w:val="22"/>
          <w:szCs w:val="22"/>
        </w:rPr>
        <w:t>ligible for separate household status; or</w:t>
      </w:r>
    </w:p>
    <w:p w:rsidR="00CB2F10" w:rsidRPr="00D909C3" w:rsidRDefault="00B66D76" w:rsidP="00841843">
      <w:pPr>
        <w:numPr>
          <w:ilvl w:val="2"/>
          <w:numId w:val="30"/>
        </w:numPr>
        <w:ind w:left="1620"/>
        <w:rPr>
          <w:sz w:val="22"/>
          <w:szCs w:val="22"/>
        </w:rPr>
      </w:pPr>
      <w:r>
        <w:rPr>
          <w:sz w:val="22"/>
          <w:szCs w:val="22"/>
        </w:rPr>
        <w:t>L</w:t>
      </w:r>
      <w:r w:rsidR="00CB2F10" w:rsidRPr="00D909C3">
        <w:rPr>
          <w:sz w:val="22"/>
          <w:szCs w:val="22"/>
        </w:rPr>
        <w:t>ives with a spouse who also receives SSI benefits; or</w:t>
      </w:r>
    </w:p>
    <w:p w:rsidR="00CB2F10" w:rsidRPr="00D909C3" w:rsidRDefault="00B66D76" w:rsidP="00841843">
      <w:pPr>
        <w:numPr>
          <w:ilvl w:val="2"/>
          <w:numId w:val="30"/>
        </w:numPr>
        <w:ind w:left="1620"/>
        <w:rPr>
          <w:sz w:val="22"/>
          <w:szCs w:val="22"/>
        </w:rPr>
      </w:pPr>
      <w:r>
        <w:rPr>
          <w:sz w:val="22"/>
          <w:szCs w:val="22"/>
        </w:rPr>
        <w:t>L</w:t>
      </w:r>
      <w:r w:rsidR="00CB2F10" w:rsidRPr="00D909C3">
        <w:rPr>
          <w:sz w:val="22"/>
          <w:szCs w:val="22"/>
        </w:rPr>
        <w:t>iving with others but buys and cooks food separately from others; and</w:t>
      </w:r>
    </w:p>
    <w:p w:rsidR="00CB2F10" w:rsidRDefault="00B66D76" w:rsidP="00841843">
      <w:pPr>
        <w:numPr>
          <w:ilvl w:val="2"/>
          <w:numId w:val="30"/>
        </w:numPr>
        <w:ind w:left="1620"/>
        <w:rPr>
          <w:sz w:val="22"/>
          <w:szCs w:val="22"/>
        </w:rPr>
      </w:pPr>
      <w:r>
        <w:rPr>
          <w:sz w:val="22"/>
          <w:szCs w:val="22"/>
        </w:rPr>
        <w:t>H</w:t>
      </w:r>
      <w:r w:rsidR="00CB2F10" w:rsidRPr="00D909C3">
        <w:rPr>
          <w:sz w:val="22"/>
          <w:szCs w:val="22"/>
        </w:rPr>
        <w:t>ousehold has no earned income at time of application</w:t>
      </w:r>
      <w:r>
        <w:rPr>
          <w:sz w:val="22"/>
          <w:szCs w:val="22"/>
        </w:rPr>
        <w:t>;</w:t>
      </w:r>
    </w:p>
    <w:p w:rsidR="00B66D76" w:rsidRDefault="00B66D76" w:rsidP="003C2E0D">
      <w:pPr>
        <w:numPr>
          <w:ilvl w:val="2"/>
          <w:numId w:val="30"/>
        </w:numPr>
        <w:ind w:left="1620"/>
        <w:rPr>
          <w:sz w:val="22"/>
          <w:szCs w:val="22"/>
        </w:rPr>
      </w:pPr>
      <w:r>
        <w:rPr>
          <w:sz w:val="22"/>
          <w:szCs w:val="22"/>
        </w:rPr>
        <w:t>Have no dependent children younger than 22 living at home; and,</w:t>
      </w:r>
    </w:p>
    <w:p w:rsidR="00B66D76" w:rsidRPr="00B66D76" w:rsidRDefault="00B66D76" w:rsidP="003C2E0D">
      <w:pPr>
        <w:numPr>
          <w:ilvl w:val="2"/>
          <w:numId w:val="30"/>
        </w:numPr>
        <w:ind w:left="1620"/>
        <w:rPr>
          <w:sz w:val="22"/>
          <w:szCs w:val="22"/>
        </w:rPr>
      </w:pPr>
      <w:r>
        <w:rPr>
          <w:sz w:val="22"/>
          <w:szCs w:val="22"/>
        </w:rPr>
        <w:t>Do</w:t>
      </w:r>
      <w:r w:rsidR="006D36B1">
        <w:rPr>
          <w:sz w:val="22"/>
          <w:szCs w:val="22"/>
        </w:rPr>
        <w:t>es</w:t>
      </w:r>
      <w:r>
        <w:rPr>
          <w:sz w:val="22"/>
          <w:szCs w:val="22"/>
        </w:rPr>
        <w:t xml:space="preserve"> not receive Tribal Commodities.</w:t>
      </w:r>
    </w:p>
    <w:tbl>
      <w:tblPr>
        <w:tblpPr w:leftFromText="180" w:rightFromText="180" w:vertAnchor="text" w:horzAnchor="margin" w:tblpXSpec="center" w:tblpY="26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37"/>
      </w:tblGrid>
      <w:tr w:rsidR="00CB2F10" w:rsidRPr="00374240" w:rsidTr="004A507F">
        <w:trPr>
          <w:trHeight w:val="798"/>
          <w:jc w:val="center"/>
        </w:trPr>
        <w:tc>
          <w:tcPr>
            <w:tcW w:w="3348" w:type="dxa"/>
            <w:shd w:val="clear" w:color="auto" w:fill="FBD4B4" w:themeFill="accent6" w:themeFillTint="66"/>
            <w:vAlign w:val="center"/>
          </w:tcPr>
          <w:p w:rsidR="00CB2F10" w:rsidRPr="00374240" w:rsidRDefault="00CB2F10" w:rsidP="00D0472A">
            <w:pPr>
              <w:jc w:val="center"/>
              <w:rPr>
                <w:b/>
              </w:rPr>
            </w:pPr>
            <w:r w:rsidRPr="00374240">
              <w:rPr>
                <w:b/>
              </w:rPr>
              <w:t>Monthly Shelter Costs</w:t>
            </w:r>
            <w:r w:rsidR="00E468BD">
              <w:rPr>
                <w:b/>
              </w:rPr>
              <w:t xml:space="preserve"> Threshold of $315.00</w:t>
            </w:r>
          </w:p>
        </w:tc>
        <w:tc>
          <w:tcPr>
            <w:tcW w:w="3037" w:type="dxa"/>
            <w:shd w:val="clear" w:color="auto" w:fill="FBD4B4" w:themeFill="accent6" w:themeFillTint="66"/>
            <w:vAlign w:val="center"/>
          </w:tcPr>
          <w:p w:rsidR="00CB2F10" w:rsidRPr="00374240" w:rsidRDefault="00CB2F10" w:rsidP="00D0472A">
            <w:pPr>
              <w:jc w:val="center"/>
              <w:rPr>
                <w:b/>
              </w:rPr>
            </w:pPr>
            <w:r w:rsidRPr="00374240">
              <w:rPr>
                <w:b/>
              </w:rPr>
              <w:t xml:space="preserve">Maximum Monthly </w:t>
            </w:r>
            <w:r w:rsidR="00E468BD">
              <w:rPr>
                <w:b/>
              </w:rPr>
              <w:t xml:space="preserve">NMCAP </w:t>
            </w:r>
            <w:r w:rsidRPr="00374240">
              <w:rPr>
                <w:b/>
              </w:rPr>
              <w:t>Benefit</w:t>
            </w:r>
          </w:p>
        </w:tc>
      </w:tr>
      <w:tr w:rsidR="00CB2F10" w:rsidRPr="00374240" w:rsidTr="004A507F">
        <w:trPr>
          <w:jc w:val="center"/>
        </w:trPr>
        <w:tc>
          <w:tcPr>
            <w:tcW w:w="3348" w:type="dxa"/>
          </w:tcPr>
          <w:p w:rsidR="00CB2F10" w:rsidRPr="00E468BD" w:rsidRDefault="00E468BD" w:rsidP="00CD1EF1">
            <w:pPr>
              <w:jc w:val="center"/>
              <w:rPr>
                <w:b/>
              </w:rPr>
            </w:pPr>
            <w:r w:rsidRPr="00E468BD">
              <w:rPr>
                <w:b/>
                <w:sz w:val="22"/>
                <w:szCs w:val="22"/>
              </w:rPr>
              <w:t xml:space="preserve">Equal to or Less Than </w:t>
            </w:r>
            <w:r w:rsidR="00CB2F10" w:rsidRPr="00E468BD">
              <w:rPr>
                <w:b/>
                <w:sz w:val="22"/>
                <w:szCs w:val="22"/>
              </w:rPr>
              <w:t>$</w:t>
            </w:r>
            <w:r w:rsidR="00483FE0" w:rsidRPr="00E468BD">
              <w:rPr>
                <w:b/>
                <w:sz w:val="22"/>
                <w:szCs w:val="22"/>
              </w:rPr>
              <w:t>315</w:t>
            </w:r>
            <w:r w:rsidR="00CB2F10" w:rsidRPr="00E468BD">
              <w:rPr>
                <w:b/>
                <w:sz w:val="22"/>
                <w:szCs w:val="22"/>
              </w:rPr>
              <w:t>.00</w:t>
            </w:r>
          </w:p>
        </w:tc>
        <w:tc>
          <w:tcPr>
            <w:tcW w:w="3037" w:type="dxa"/>
          </w:tcPr>
          <w:p w:rsidR="00CB2F10" w:rsidRPr="00E468BD" w:rsidRDefault="00B66D76" w:rsidP="00D0472A">
            <w:pPr>
              <w:jc w:val="center"/>
              <w:rPr>
                <w:b/>
              </w:rPr>
            </w:pPr>
            <w:r w:rsidRPr="00E468BD">
              <w:rPr>
                <w:b/>
                <w:sz w:val="22"/>
                <w:szCs w:val="22"/>
              </w:rPr>
              <w:t>$33.00</w:t>
            </w:r>
            <w:r w:rsidR="00E468BD" w:rsidRPr="00E468BD">
              <w:rPr>
                <w:b/>
                <w:sz w:val="22"/>
                <w:szCs w:val="22"/>
              </w:rPr>
              <w:t>*</w:t>
            </w:r>
          </w:p>
        </w:tc>
      </w:tr>
      <w:tr w:rsidR="00CB2F10" w:rsidRPr="00D0472A" w:rsidTr="004A507F">
        <w:trPr>
          <w:jc w:val="center"/>
        </w:trPr>
        <w:tc>
          <w:tcPr>
            <w:tcW w:w="3348" w:type="dxa"/>
          </w:tcPr>
          <w:p w:rsidR="00CB2F10" w:rsidRPr="00E468BD" w:rsidRDefault="00E468BD" w:rsidP="00CD1EF1">
            <w:pPr>
              <w:jc w:val="center"/>
              <w:rPr>
                <w:b/>
              </w:rPr>
            </w:pPr>
            <w:r w:rsidRPr="00E468BD">
              <w:rPr>
                <w:b/>
                <w:sz w:val="22"/>
                <w:szCs w:val="22"/>
              </w:rPr>
              <w:t>Greater than</w:t>
            </w:r>
            <w:r w:rsidR="00CB2F10" w:rsidRPr="00E468BD">
              <w:rPr>
                <w:b/>
                <w:sz w:val="22"/>
                <w:szCs w:val="22"/>
              </w:rPr>
              <w:t xml:space="preserve"> $</w:t>
            </w:r>
            <w:r w:rsidR="00483FE0" w:rsidRPr="00E468BD">
              <w:rPr>
                <w:b/>
                <w:sz w:val="22"/>
                <w:szCs w:val="22"/>
              </w:rPr>
              <w:t>315</w:t>
            </w:r>
            <w:r w:rsidR="00CB2F10" w:rsidRPr="00E468BD">
              <w:rPr>
                <w:b/>
                <w:sz w:val="22"/>
                <w:szCs w:val="22"/>
              </w:rPr>
              <w:t>.00</w:t>
            </w:r>
          </w:p>
        </w:tc>
        <w:tc>
          <w:tcPr>
            <w:tcW w:w="3037" w:type="dxa"/>
          </w:tcPr>
          <w:p w:rsidR="00CB2F10" w:rsidRPr="00E468BD" w:rsidRDefault="00B66D76" w:rsidP="00483FE0">
            <w:pPr>
              <w:jc w:val="center"/>
              <w:rPr>
                <w:b/>
              </w:rPr>
            </w:pPr>
            <w:r w:rsidRPr="00E468BD">
              <w:rPr>
                <w:b/>
                <w:sz w:val="22"/>
                <w:szCs w:val="22"/>
              </w:rPr>
              <w:t>$68.00</w:t>
            </w:r>
            <w:r w:rsidR="00E468BD" w:rsidRPr="00E468BD">
              <w:rPr>
                <w:b/>
                <w:sz w:val="22"/>
                <w:szCs w:val="22"/>
              </w:rPr>
              <w:t>*</w:t>
            </w:r>
          </w:p>
        </w:tc>
      </w:tr>
    </w:tbl>
    <w:p w:rsidR="00CB2F10" w:rsidRPr="00BF63C2" w:rsidRDefault="00CB2F10" w:rsidP="00E16075">
      <w:pPr>
        <w:rPr>
          <w:highlight w:val="yellow"/>
        </w:rPr>
      </w:pPr>
    </w:p>
    <w:p w:rsidR="00CB2F10" w:rsidRPr="00BF63C2" w:rsidRDefault="00CB2F10" w:rsidP="001C37F0">
      <w:pPr>
        <w:ind w:left="360"/>
        <w:rPr>
          <w:b/>
          <w:highlight w:val="yellow"/>
        </w:rPr>
      </w:pPr>
    </w:p>
    <w:p w:rsidR="00CB2F10" w:rsidRPr="00BF63C2" w:rsidRDefault="00CB2F10" w:rsidP="001C37F0">
      <w:pPr>
        <w:ind w:left="360"/>
        <w:rPr>
          <w:b/>
          <w:highlight w:val="yellow"/>
        </w:rPr>
      </w:pPr>
    </w:p>
    <w:p w:rsidR="00CB2F10" w:rsidRPr="00BF63C2" w:rsidRDefault="00CB2F10" w:rsidP="005A2A01">
      <w:pPr>
        <w:rPr>
          <w:sz w:val="16"/>
          <w:highlight w:val="yellow"/>
        </w:rPr>
      </w:pPr>
    </w:p>
    <w:p w:rsidR="00CB2F10" w:rsidRPr="00BF63C2" w:rsidRDefault="00CB2F10" w:rsidP="005A2A01">
      <w:pPr>
        <w:rPr>
          <w:sz w:val="16"/>
          <w:highlight w:val="yellow"/>
        </w:rPr>
      </w:pPr>
    </w:p>
    <w:p w:rsidR="00CB2F10" w:rsidRPr="00BF63C2" w:rsidRDefault="00CB2F10" w:rsidP="005A2A01">
      <w:pPr>
        <w:rPr>
          <w:sz w:val="16"/>
          <w:highlight w:val="yellow"/>
        </w:rPr>
      </w:pPr>
    </w:p>
    <w:p w:rsidR="00CB2F10" w:rsidRPr="00BF63C2" w:rsidRDefault="00CB2F10" w:rsidP="005A2A01">
      <w:pPr>
        <w:rPr>
          <w:sz w:val="16"/>
          <w:highlight w:val="yellow"/>
        </w:rPr>
      </w:pPr>
    </w:p>
    <w:p w:rsidR="00CB2F10" w:rsidRPr="00BF63C2" w:rsidRDefault="00CB2F10" w:rsidP="005A2A01">
      <w:pPr>
        <w:rPr>
          <w:sz w:val="16"/>
          <w:highlight w:val="yellow"/>
        </w:rPr>
      </w:pPr>
    </w:p>
    <w:p w:rsidR="00CB2F10" w:rsidRPr="00E468BD" w:rsidRDefault="00E468BD" w:rsidP="00E468BD">
      <w:pPr>
        <w:ind w:left="1620"/>
        <w:rPr>
          <w:b/>
          <w:sz w:val="20"/>
          <w:szCs w:val="20"/>
        </w:rPr>
      </w:pPr>
      <w:r w:rsidRPr="00E468BD">
        <w:rPr>
          <w:b/>
          <w:sz w:val="20"/>
          <w:szCs w:val="20"/>
        </w:rPr>
        <w:t>*Benefit Amounts as of 11/01/2013</w:t>
      </w:r>
    </w:p>
    <w:p w:rsidR="00CB2F10" w:rsidRPr="00841843" w:rsidRDefault="00CB2F10" w:rsidP="005A2A01">
      <w:pPr>
        <w:rPr>
          <w:b/>
          <w:highlight w:val="yellow"/>
        </w:rPr>
      </w:pPr>
    </w:p>
    <w:p w:rsidR="00841843" w:rsidRPr="00841843" w:rsidRDefault="00841843" w:rsidP="004A507F">
      <w:pPr>
        <w:pStyle w:val="Heading4"/>
        <w:numPr>
          <w:ilvl w:val="0"/>
          <w:numId w:val="1"/>
        </w:numPr>
        <w:spacing w:before="0" w:after="0"/>
        <w:rPr>
          <w:sz w:val="24"/>
          <w:szCs w:val="24"/>
        </w:rPr>
      </w:pPr>
      <w:r>
        <w:rPr>
          <w:sz w:val="24"/>
          <w:szCs w:val="24"/>
        </w:rPr>
        <w:t>Contact Information</w:t>
      </w:r>
      <w:r w:rsidR="00CB2F10" w:rsidRPr="00841843">
        <w:rPr>
          <w:sz w:val="24"/>
          <w:szCs w:val="24"/>
        </w:rPr>
        <w:tab/>
      </w:r>
    </w:p>
    <w:p w:rsidR="00841843" w:rsidRDefault="00841843" w:rsidP="00CD4C7C">
      <w:pPr>
        <w:pStyle w:val="Heading4"/>
        <w:spacing w:before="0" w:after="0"/>
        <w:rPr>
          <w:b w:val="0"/>
          <w:sz w:val="24"/>
          <w:szCs w:val="24"/>
        </w:rPr>
      </w:pPr>
    </w:p>
    <w:p w:rsidR="00CB2F10" w:rsidRPr="00CD4C7C" w:rsidRDefault="00E468BD" w:rsidP="004A507F">
      <w:pPr>
        <w:pStyle w:val="Heading4"/>
        <w:spacing w:before="0" w:after="0"/>
        <w:ind w:left="864"/>
        <w:rPr>
          <w:b w:val="0"/>
          <w:sz w:val="24"/>
          <w:szCs w:val="24"/>
        </w:rPr>
      </w:pPr>
      <w:r>
        <w:rPr>
          <w:b w:val="0"/>
          <w:sz w:val="24"/>
          <w:szCs w:val="24"/>
        </w:rPr>
        <w:t>Constance Averett, Acting Bureau Chief</w:t>
      </w:r>
    </w:p>
    <w:p w:rsidR="00CB2F10" w:rsidRPr="00CD4C7C" w:rsidRDefault="00CB2F10" w:rsidP="004A507F">
      <w:pPr>
        <w:pStyle w:val="Heading4"/>
        <w:spacing w:before="0" w:after="0"/>
        <w:ind w:left="864"/>
        <w:rPr>
          <w:b w:val="0"/>
          <w:sz w:val="24"/>
          <w:szCs w:val="24"/>
        </w:rPr>
      </w:pPr>
      <w:r w:rsidRPr="00CD4C7C">
        <w:rPr>
          <w:b w:val="0"/>
          <w:sz w:val="24"/>
          <w:szCs w:val="24"/>
        </w:rPr>
        <w:t>Policy &amp; Program Development Bureau</w:t>
      </w:r>
      <w:r w:rsidR="0043118A">
        <w:rPr>
          <w:b w:val="0"/>
          <w:sz w:val="24"/>
          <w:szCs w:val="24"/>
        </w:rPr>
        <w:t>/</w:t>
      </w:r>
      <w:r w:rsidRPr="00CD4C7C">
        <w:rPr>
          <w:b w:val="0"/>
          <w:sz w:val="24"/>
          <w:szCs w:val="24"/>
        </w:rPr>
        <w:t>Income Support Division</w:t>
      </w:r>
    </w:p>
    <w:p w:rsidR="00855F88" w:rsidRDefault="00855F88" w:rsidP="00855F88">
      <w:pPr>
        <w:ind w:left="864"/>
      </w:pPr>
      <w:r>
        <w:t>Office: (5</w:t>
      </w:r>
      <w:r w:rsidRPr="00CD4C7C">
        <w:t>05</w:t>
      </w:r>
      <w:r>
        <w:t xml:space="preserve">) </w:t>
      </w:r>
      <w:r w:rsidR="00E468BD">
        <w:t>827-7219</w:t>
      </w:r>
    </w:p>
    <w:p w:rsidR="0043118A" w:rsidRPr="0043118A" w:rsidRDefault="00855F88" w:rsidP="00855F88">
      <w:pPr>
        <w:ind w:left="864"/>
        <w:rPr>
          <w:b/>
        </w:rPr>
      </w:pPr>
      <w:r>
        <w:t>Fax: (505) 827-7259</w:t>
      </w:r>
    </w:p>
    <w:p w:rsidR="00CB2F10" w:rsidRPr="00CD4C7C" w:rsidRDefault="00855F88" w:rsidP="004A507F">
      <w:pPr>
        <w:pStyle w:val="Heading4"/>
        <w:spacing w:before="0" w:after="0"/>
        <w:ind w:left="864"/>
        <w:rPr>
          <w:sz w:val="24"/>
          <w:szCs w:val="24"/>
        </w:rPr>
      </w:pPr>
      <w:r w:rsidRPr="00855F88">
        <w:rPr>
          <w:b w:val="0"/>
          <w:sz w:val="22"/>
          <w:szCs w:val="22"/>
        </w:rPr>
        <w:t>Email:</w:t>
      </w:r>
      <w:r>
        <w:t xml:space="preserve"> </w:t>
      </w:r>
      <w:hyperlink r:id="rId9" w:history="1">
        <w:r w:rsidR="00E468BD" w:rsidRPr="00426AAD">
          <w:rPr>
            <w:rStyle w:val="Hyperlink"/>
            <w:b w:val="0"/>
            <w:sz w:val="24"/>
            <w:szCs w:val="24"/>
          </w:rPr>
          <w:t>Constance.Averett@state.nm.us</w:t>
        </w:r>
      </w:hyperlink>
    </w:p>
    <w:p w:rsidR="00CB2F10" w:rsidRPr="00461F07" w:rsidRDefault="00CB2F10" w:rsidP="00F21B4B">
      <w:pPr>
        <w:ind w:firstLine="720"/>
      </w:pPr>
    </w:p>
    <w:p w:rsidR="00CB2F10" w:rsidRDefault="00CB2F10" w:rsidP="0072328F"/>
    <w:p w:rsidR="00CB2F10" w:rsidRDefault="00CB2F10" w:rsidP="00167A78">
      <w:pPr>
        <w:rPr>
          <w:rFonts w:ascii="Arial Black" w:hAnsi="Arial Black"/>
          <w:sz w:val="18"/>
        </w:rPr>
      </w:pPr>
    </w:p>
    <w:sectPr w:rsidR="00CB2F10" w:rsidSect="00F70871">
      <w:footerReference w:type="default" r:id="rId10"/>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BF" w:rsidRDefault="00662ABF">
      <w:r>
        <w:separator/>
      </w:r>
    </w:p>
  </w:endnote>
  <w:endnote w:type="continuationSeparator" w:id="0">
    <w:p w:rsidR="00662ABF" w:rsidRDefault="0066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10" w:rsidRPr="008E712C" w:rsidRDefault="00CB2F10">
    <w:pPr>
      <w:pStyle w:val="Footer"/>
      <w:rPr>
        <w:sz w:val="22"/>
        <w:szCs w:val="22"/>
      </w:rPr>
    </w:pPr>
    <w:r w:rsidRPr="008E712C">
      <w:rPr>
        <w:sz w:val="22"/>
        <w:szCs w:val="22"/>
      </w:rPr>
      <w:t xml:space="preserve">SNAP </w:t>
    </w:r>
    <w:r w:rsidR="00F73A99">
      <w:rPr>
        <w:sz w:val="22"/>
        <w:szCs w:val="22"/>
      </w:rPr>
      <w:t>Fact Sheet, updated 11.21.13</w:t>
    </w:r>
    <w:r>
      <w:tab/>
    </w:r>
    <w:r>
      <w:tab/>
    </w:r>
    <w:r w:rsidRPr="008E712C">
      <w:rPr>
        <w:sz w:val="22"/>
        <w:szCs w:val="22"/>
      </w:rPr>
      <w:t xml:space="preserve">Page </w:t>
    </w:r>
    <w:r w:rsidR="00166DAE" w:rsidRPr="008E712C">
      <w:rPr>
        <w:rStyle w:val="PageNumber"/>
        <w:sz w:val="22"/>
        <w:szCs w:val="22"/>
      </w:rPr>
      <w:fldChar w:fldCharType="begin"/>
    </w:r>
    <w:r w:rsidRPr="008E712C">
      <w:rPr>
        <w:rStyle w:val="PageNumber"/>
        <w:sz w:val="22"/>
        <w:szCs w:val="22"/>
      </w:rPr>
      <w:instrText xml:space="preserve"> PAGE </w:instrText>
    </w:r>
    <w:r w:rsidR="00166DAE" w:rsidRPr="008E712C">
      <w:rPr>
        <w:rStyle w:val="PageNumber"/>
        <w:sz w:val="22"/>
        <w:szCs w:val="22"/>
      </w:rPr>
      <w:fldChar w:fldCharType="separate"/>
    </w:r>
    <w:r w:rsidR="0026227C">
      <w:rPr>
        <w:rStyle w:val="PageNumber"/>
        <w:noProof/>
        <w:sz w:val="22"/>
        <w:szCs w:val="22"/>
      </w:rPr>
      <w:t>1</w:t>
    </w:r>
    <w:r w:rsidR="00166DAE" w:rsidRPr="008E712C">
      <w:rPr>
        <w:rStyle w:val="PageNumber"/>
        <w:sz w:val="22"/>
        <w:szCs w:val="22"/>
      </w:rPr>
      <w:fldChar w:fldCharType="end"/>
    </w:r>
    <w:r w:rsidRPr="008E712C">
      <w:rPr>
        <w:rStyle w:val="PageNumber"/>
        <w:sz w:val="22"/>
        <w:szCs w:val="22"/>
      </w:rPr>
      <w:t xml:space="preserve"> of </w:t>
    </w:r>
    <w:r w:rsidR="00166DAE" w:rsidRPr="008E712C">
      <w:rPr>
        <w:rStyle w:val="PageNumber"/>
        <w:sz w:val="22"/>
        <w:szCs w:val="22"/>
      </w:rPr>
      <w:fldChar w:fldCharType="begin"/>
    </w:r>
    <w:r w:rsidRPr="008E712C">
      <w:rPr>
        <w:rStyle w:val="PageNumber"/>
        <w:sz w:val="22"/>
        <w:szCs w:val="22"/>
      </w:rPr>
      <w:instrText xml:space="preserve"> NUMPAGES </w:instrText>
    </w:r>
    <w:r w:rsidR="00166DAE" w:rsidRPr="008E712C">
      <w:rPr>
        <w:rStyle w:val="PageNumber"/>
        <w:sz w:val="22"/>
        <w:szCs w:val="22"/>
      </w:rPr>
      <w:fldChar w:fldCharType="separate"/>
    </w:r>
    <w:r w:rsidR="0026227C">
      <w:rPr>
        <w:rStyle w:val="PageNumber"/>
        <w:noProof/>
        <w:sz w:val="22"/>
        <w:szCs w:val="22"/>
      </w:rPr>
      <w:t>4</w:t>
    </w:r>
    <w:r w:rsidR="00166DAE" w:rsidRPr="008E712C">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BF" w:rsidRDefault="00662ABF">
      <w:r>
        <w:separator/>
      </w:r>
    </w:p>
  </w:footnote>
  <w:footnote w:type="continuationSeparator" w:id="0">
    <w:p w:rsidR="00662ABF" w:rsidRDefault="00662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pt;height:11.2pt" o:bullet="t">
        <v:imagedata r:id="rId1" o:title="mso2DC"/>
      </v:shape>
    </w:pict>
  </w:numPicBullet>
  <w:abstractNum w:abstractNumId="0">
    <w:nsid w:val="00D62D78"/>
    <w:multiLevelType w:val="hybridMultilevel"/>
    <w:tmpl w:val="FF7A8E16"/>
    <w:lvl w:ilvl="0" w:tplc="3AB0E30C">
      <w:start w:val="1"/>
      <w:numFmt w:val="bullet"/>
      <w:lvlText w:val="►"/>
      <w:lvlJc w:val="left"/>
      <w:pPr>
        <w:ind w:left="2160" w:hanging="360"/>
      </w:pPr>
      <w:rPr>
        <w:rFonts w:ascii="Book Antiqua" w:hAnsi="Book Antiqua"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940504"/>
    <w:multiLevelType w:val="hybridMultilevel"/>
    <w:tmpl w:val="3572D4B8"/>
    <w:lvl w:ilvl="0" w:tplc="0F8E05DC">
      <w:start w:val="1"/>
      <w:numFmt w:val="decimal"/>
      <w:lvlText w:val="%1."/>
      <w:lvlJc w:val="left"/>
      <w:pPr>
        <w:ind w:left="864" w:hanging="360"/>
      </w:pPr>
      <w:rPr>
        <w:rFonts w:cs="Times New Roman" w:hint="default"/>
      </w:rPr>
    </w:lvl>
    <w:lvl w:ilvl="1" w:tplc="04090019">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
    <w:nsid w:val="0501323C"/>
    <w:multiLevelType w:val="hybridMultilevel"/>
    <w:tmpl w:val="027CCC9C"/>
    <w:lvl w:ilvl="0" w:tplc="3AB0E30C">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6F0709"/>
    <w:multiLevelType w:val="hybridMultilevel"/>
    <w:tmpl w:val="05CA8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2106EA"/>
    <w:multiLevelType w:val="hybridMultilevel"/>
    <w:tmpl w:val="D66EE7D6"/>
    <w:lvl w:ilvl="0" w:tplc="3AB0E30C">
      <w:start w:val="1"/>
      <w:numFmt w:val="bullet"/>
      <w:lvlText w:val="►"/>
      <w:lvlJc w:val="left"/>
      <w:pPr>
        <w:tabs>
          <w:tab w:val="num" w:pos="360"/>
        </w:tabs>
        <w:ind w:left="360" w:hanging="360"/>
      </w:pPr>
      <w:rPr>
        <w:rFonts w:ascii="Book Antiqua" w:hAnsi="Book Antiqua" w:hint="default"/>
        <w:sz w:val="28"/>
      </w:rPr>
    </w:lvl>
    <w:lvl w:ilvl="1" w:tplc="CBD2D6BE">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9510958"/>
    <w:multiLevelType w:val="hybridMultilevel"/>
    <w:tmpl w:val="2D92C58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B695D5F"/>
    <w:multiLevelType w:val="hybridMultilevel"/>
    <w:tmpl w:val="A03EE428"/>
    <w:lvl w:ilvl="0" w:tplc="3AB0E30C">
      <w:start w:val="1"/>
      <w:numFmt w:val="bullet"/>
      <w:lvlText w:val="►"/>
      <w:lvlJc w:val="left"/>
      <w:pPr>
        <w:ind w:left="2160" w:hanging="360"/>
      </w:pPr>
      <w:rPr>
        <w:rFonts w:ascii="Book Antiqua" w:hAnsi="Book Antiqua" w:hint="default"/>
      </w:rPr>
    </w:lvl>
    <w:lvl w:ilvl="1" w:tplc="642A2F84">
      <w:start w:val="1"/>
      <w:numFmt w:val="bullet"/>
      <w:lvlText w:val="►"/>
      <w:lvlJc w:val="left"/>
      <w:pPr>
        <w:ind w:left="2880" w:hanging="360"/>
      </w:pPr>
      <w:rPr>
        <w:rFonts w:ascii="Book Antiqua" w:hAnsi="Book Antiqua" w:hint="default"/>
        <w:strike w:val="0"/>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E6A2422"/>
    <w:multiLevelType w:val="hybridMultilevel"/>
    <w:tmpl w:val="D7CE97D4"/>
    <w:lvl w:ilvl="0" w:tplc="6B841416">
      <w:start w:val="1"/>
      <w:numFmt w:val="bullet"/>
      <w:lvlText w:val="►"/>
      <w:lvlJc w:val="left"/>
      <w:pPr>
        <w:tabs>
          <w:tab w:val="num" w:pos="360"/>
        </w:tabs>
        <w:ind w:left="360" w:hanging="360"/>
      </w:pPr>
      <w:rPr>
        <w:rFonts w:ascii="Book Antiqua" w:hAnsi="Book Antiqua" w:hint="default"/>
        <w:b w:val="0"/>
        <w:caps w:val="0"/>
        <w:strike w:val="0"/>
        <w:dstrike w:val="0"/>
        <w:vanish w:val="0"/>
        <w:sz w:val="24"/>
        <w:vertAlign w:val="baseline"/>
      </w:rPr>
    </w:lvl>
    <w:lvl w:ilvl="1" w:tplc="04090003">
      <w:start w:val="1"/>
      <w:numFmt w:val="bullet"/>
      <w:lvlText w:val="o"/>
      <w:lvlJc w:val="left"/>
      <w:pPr>
        <w:tabs>
          <w:tab w:val="num" w:pos="1080"/>
        </w:tabs>
        <w:ind w:left="1080" w:hanging="360"/>
      </w:pPr>
      <w:rPr>
        <w:rFonts w:ascii="Courier New" w:hAnsi="Courier New" w:hint="default"/>
        <w:b w:val="0"/>
        <w:caps w:val="0"/>
        <w:strike w:val="0"/>
        <w:dstrike w:val="0"/>
        <w:vanish w:val="0"/>
        <w:sz w:val="24"/>
        <w:vertAlign w:val="baseline"/>
      </w:rPr>
    </w:lvl>
    <w:lvl w:ilvl="2" w:tplc="00E6F698">
      <w:start w:val="1"/>
      <w:numFmt w:val="bullet"/>
      <w:lvlText w:val="○"/>
      <w:lvlJc w:val="left"/>
      <w:pPr>
        <w:tabs>
          <w:tab w:val="num" w:pos="1800"/>
        </w:tabs>
        <w:ind w:left="1800" w:hanging="360"/>
      </w:pPr>
      <w:rPr>
        <w:rFonts w:ascii="Arial" w:hAnsi="Aria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1E403C0"/>
    <w:multiLevelType w:val="hybridMultilevel"/>
    <w:tmpl w:val="FCB8E450"/>
    <w:lvl w:ilvl="0" w:tplc="3AB0E30C">
      <w:start w:val="1"/>
      <w:numFmt w:val="bullet"/>
      <w:lvlText w:val="►"/>
      <w:lvlJc w:val="left"/>
      <w:pPr>
        <w:tabs>
          <w:tab w:val="num" w:pos="1080"/>
        </w:tabs>
        <w:ind w:left="1080" w:hanging="360"/>
      </w:pPr>
      <w:rPr>
        <w:rFonts w:ascii="Book Antiqua" w:hAnsi="Book Antiqu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0322BB"/>
    <w:multiLevelType w:val="hybridMultilevel"/>
    <w:tmpl w:val="34C86CA4"/>
    <w:lvl w:ilvl="0" w:tplc="3AB0E30C">
      <w:start w:val="1"/>
      <w:numFmt w:val="bullet"/>
      <w:lvlText w:val="►"/>
      <w:lvlJc w:val="left"/>
      <w:pPr>
        <w:tabs>
          <w:tab w:val="num" w:pos="1080"/>
        </w:tabs>
        <w:ind w:left="108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CB1F86"/>
    <w:multiLevelType w:val="hybridMultilevel"/>
    <w:tmpl w:val="390E3DBC"/>
    <w:lvl w:ilvl="0" w:tplc="3AB0E30C">
      <w:start w:val="1"/>
      <w:numFmt w:val="bullet"/>
      <w:lvlText w:val="►"/>
      <w:lvlJc w:val="left"/>
      <w:pPr>
        <w:ind w:left="720" w:hanging="360"/>
      </w:pPr>
      <w:rPr>
        <w:rFonts w:ascii="Book Antiqua" w:hAnsi="Book Antiqu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97D79"/>
    <w:multiLevelType w:val="hybridMultilevel"/>
    <w:tmpl w:val="9AF0665C"/>
    <w:lvl w:ilvl="0" w:tplc="3AB0E30C">
      <w:start w:val="1"/>
      <w:numFmt w:val="bullet"/>
      <w:lvlText w:val="►"/>
      <w:lvlJc w:val="left"/>
      <w:pPr>
        <w:tabs>
          <w:tab w:val="num" w:pos="1080"/>
        </w:tabs>
        <w:ind w:left="1080" w:hanging="360"/>
      </w:pPr>
      <w:rPr>
        <w:rFonts w:ascii="Book Antiqua" w:hAnsi="Book Antiqua" w:hint="default"/>
      </w:rPr>
    </w:lvl>
    <w:lvl w:ilvl="1" w:tplc="04090003">
      <w:start w:val="1"/>
      <w:numFmt w:val="bullet"/>
      <w:lvlText w:val="o"/>
      <w:lvlJc w:val="left"/>
      <w:pPr>
        <w:tabs>
          <w:tab w:val="num" w:pos="1080"/>
        </w:tabs>
        <w:ind w:left="1080" w:hanging="360"/>
      </w:pPr>
      <w:rPr>
        <w:rFonts w:ascii="Courier New" w:hAnsi="Courier New" w:hint="default"/>
      </w:rPr>
    </w:lvl>
    <w:lvl w:ilvl="2" w:tplc="3AB0E30C">
      <w:start w:val="1"/>
      <w:numFmt w:val="bullet"/>
      <w:lvlText w:val="►"/>
      <w:lvlJc w:val="left"/>
      <w:pPr>
        <w:tabs>
          <w:tab w:val="num" w:pos="2160"/>
        </w:tabs>
        <w:ind w:left="2160" w:hanging="360"/>
      </w:pPr>
      <w:rPr>
        <w:rFonts w:ascii="Book Antiqua" w:hAnsi="Book Antiqua"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07E063E"/>
    <w:multiLevelType w:val="hybridMultilevel"/>
    <w:tmpl w:val="A456FBCA"/>
    <w:lvl w:ilvl="0" w:tplc="3AB0E30C">
      <w:start w:val="1"/>
      <w:numFmt w:val="bullet"/>
      <w:lvlText w:val="►"/>
      <w:lvlJc w:val="left"/>
      <w:pPr>
        <w:ind w:left="2160" w:hanging="360"/>
      </w:pPr>
      <w:rPr>
        <w:rFonts w:ascii="Book Antiqua" w:hAnsi="Book Antiqua" w:hint="default"/>
      </w:rPr>
    </w:lvl>
    <w:lvl w:ilvl="1" w:tplc="3AB0E30C">
      <w:start w:val="1"/>
      <w:numFmt w:val="bullet"/>
      <w:lvlText w:val="►"/>
      <w:lvlJc w:val="left"/>
      <w:pPr>
        <w:ind w:left="2880" w:hanging="360"/>
      </w:pPr>
      <w:rPr>
        <w:rFonts w:ascii="Book Antiqua" w:hAnsi="Book Antiqua"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8A5448A"/>
    <w:multiLevelType w:val="hybridMultilevel"/>
    <w:tmpl w:val="8A54604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194E83"/>
    <w:multiLevelType w:val="hybridMultilevel"/>
    <w:tmpl w:val="9D74FA7A"/>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70323E"/>
    <w:multiLevelType w:val="hybridMultilevel"/>
    <w:tmpl w:val="6C6A7F80"/>
    <w:lvl w:ilvl="0" w:tplc="3AB0E30C">
      <w:start w:val="1"/>
      <w:numFmt w:val="bullet"/>
      <w:lvlText w:val="►"/>
      <w:lvlJc w:val="left"/>
      <w:pPr>
        <w:tabs>
          <w:tab w:val="num" w:pos="1080"/>
        </w:tabs>
        <w:ind w:left="1080" w:hanging="360"/>
      </w:pPr>
      <w:rPr>
        <w:rFonts w:ascii="Book Antiqua" w:hAnsi="Book Antiqu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6C41B3A"/>
    <w:multiLevelType w:val="hybridMultilevel"/>
    <w:tmpl w:val="72C0B1B4"/>
    <w:lvl w:ilvl="0" w:tplc="3AB0E30C">
      <w:start w:val="1"/>
      <w:numFmt w:val="bullet"/>
      <w:lvlText w:val="►"/>
      <w:lvlJc w:val="left"/>
      <w:pPr>
        <w:ind w:left="2160" w:hanging="360"/>
      </w:pPr>
      <w:rPr>
        <w:rFonts w:ascii="Book Antiqua" w:hAnsi="Book Antiqua"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BAE0F90"/>
    <w:multiLevelType w:val="hybridMultilevel"/>
    <w:tmpl w:val="8F9CFA08"/>
    <w:lvl w:ilvl="0" w:tplc="3AB0E30C">
      <w:start w:val="1"/>
      <w:numFmt w:val="bullet"/>
      <w:lvlText w:val="►"/>
      <w:lvlJc w:val="left"/>
      <w:pPr>
        <w:ind w:left="720" w:hanging="360"/>
      </w:pPr>
      <w:rPr>
        <w:rFonts w:ascii="Book Antiqua" w:hAnsi="Book Antiqu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E5AF1"/>
    <w:multiLevelType w:val="hybridMultilevel"/>
    <w:tmpl w:val="1A548342"/>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A4639D"/>
    <w:multiLevelType w:val="hybridMultilevel"/>
    <w:tmpl w:val="A1D022F8"/>
    <w:lvl w:ilvl="0" w:tplc="019C1BC4">
      <w:start w:val="1"/>
      <w:numFmt w:val="bullet"/>
      <w:lvlText w:val=""/>
      <w:lvlJc w:val="left"/>
      <w:pPr>
        <w:tabs>
          <w:tab w:val="num" w:pos="1440"/>
        </w:tabs>
        <w:ind w:left="1440" w:hanging="360"/>
      </w:pPr>
      <w:rPr>
        <w:rFonts w:ascii="Wingdings" w:hAnsi="Wingdings" w:hint="default"/>
        <w:caps w:val="0"/>
        <w:strike w:val="0"/>
        <w:dstrike w:val="0"/>
        <w:vanish w:val="0"/>
        <w:sz w:val="24"/>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360D6D"/>
    <w:multiLevelType w:val="hybridMultilevel"/>
    <w:tmpl w:val="A036BA0C"/>
    <w:lvl w:ilvl="0" w:tplc="3AB0E30C">
      <w:start w:val="1"/>
      <w:numFmt w:val="bullet"/>
      <w:lvlText w:val="►"/>
      <w:lvlJc w:val="left"/>
      <w:pPr>
        <w:tabs>
          <w:tab w:val="num" w:pos="360"/>
        </w:tabs>
        <w:ind w:left="360" w:hanging="360"/>
      </w:pPr>
      <w:rPr>
        <w:rFonts w:ascii="Book Antiqua" w:hAnsi="Book Antiqua" w:hint="default"/>
        <w:sz w:val="28"/>
      </w:rPr>
    </w:lvl>
    <w:lvl w:ilvl="1" w:tplc="019C1BC4">
      <w:start w:val="1"/>
      <w:numFmt w:val="bullet"/>
      <w:lvlText w:val=""/>
      <w:lvlJc w:val="left"/>
      <w:pPr>
        <w:tabs>
          <w:tab w:val="num" w:pos="1440"/>
        </w:tabs>
        <w:ind w:left="1440" w:hanging="360"/>
      </w:pPr>
      <w:rPr>
        <w:rFonts w:ascii="Wingdings" w:hAnsi="Wingdings" w:hint="default"/>
        <w:caps w:val="0"/>
        <w:strike w:val="0"/>
        <w:dstrike w:val="0"/>
        <w:vanish w:val="0"/>
        <w:sz w:val="28"/>
        <w:vertAlign w:val="base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F80EBF44">
      <w:start w:val="98"/>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3A8740E"/>
    <w:multiLevelType w:val="hybridMultilevel"/>
    <w:tmpl w:val="357E80A6"/>
    <w:lvl w:ilvl="0" w:tplc="FA7ABF3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5014E4"/>
    <w:multiLevelType w:val="hybridMultilevel"/>
    <w:tmpl w:val="929A982C"/>
    <w:lvl w:ilvl="0" w:tplc="04090003">
      <w:start w:val="1"/>
      <w:numFmt w:val="bullet"/>
      <w:lvlText w:val="o"/>
      <w:lvlJc w:val="left"/>
      <w:pPr>
        <w:tabs>
          <w:tab w:val="num" w:pos="1080"/>
        </w:tabs>
        <w:ind w:left="108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0E5616"/>
    <w:multiLevelType w:val="hybridMultilevel"/>
    <w:tmpl w:val="BDB6A5F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60E1AD2">
      <w:start w:val="1"/>
      <w:numFmt w:val="bullet"/>
      <w:lvlText w:val=""/>
      <w:lvlJc w:val="left"/>
      <w:pPr>
        <w:tabs>
          <w:tab w:val="num" w:pos="2808"/>
        </w:tabs>
        <w:ind w:left="3024" w:hanging="504"/>
      </w:pPr>
      <w:rPr>
        <w:rFonts w:ascii="Wingdings 3" w:hAnsi="Wingdings 3" w:hint="default"/>
        <w:color w:val="auto"/>
        <w:sz w:val="18"/>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517BB5"/>
    <w:multiLevelType w:val="hybridMultilevel"/>
    <w:tmpl w:val="B8A894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60E1AD2">
      <w:start w:val="1"/>
      <w:numFmt w:val="bullet"/>
      <w:lvlText w:val=""/>
      <w:lvlJc w:val="left"/>
      <w:pPr>
        <w:tabs>
          <w:tab w:val="num" w:pos="2808"/>
        </w:tabs>
        <w:ind w:left="3024" w:hanging="504"/>
      </w:pPr>
      <w:rPr>
        <w:rFonts w:ascii="Wingdings 3" w:hAnsi="Wingdings 3" w:hint="default"/>
        <w:color w:val="auto"/>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6B0F5D"/>
    <w:multiLevelType w:val="hybridMultilevel"/>
    <w:tmpl w:val="4A9A713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A31041"/>
    <w:multiLevelType w:val="hybridMultilevel"/>
    <w:tmpl w:val="97A299A6"/>
    <w:lvl w:ilvl="0" w:tplc="3BAA6524">
      <w:start w:val="1"/>
      <w:numFmt w:val="bullet"/>
      <w:pStyle w:val="Boldarrow"/>
      <w:lvlText w:val="►"/>
      <w:lvlJc w:val="left"/>
      <w:pPr>
        <w:tabs>
          <w:tab w:val="num" w:pos="1260"/>
        </w:tabs>
        <w:ind w:left="1260" w:hanging="360"/>
      </w:pPr>
      <w:rPr>
        <w:rFonts w:ascii="Book Antiqua" w:hAnsi="Book Antiqua" w:hint="default"/>
        <w:sz w:val="28"/>
      </w:rPr>
    </w:lvl>
    <w:lvl w:ilvl="1" w:tplc="CBD2D6BE">
      <w:start w:val="1"/>
      <w:numFmt w:val="bullet"/>
      <w:lvlText w:val=""/>
      <w:lvlJc w:val="left"/>
      <w:pPr>
        <w:tabs>
          <w:tab w:val="num" w:pos="1980"/>
        </w:tabs>
        <w:ind w:left="1980" w:hanging="360"/>
      </w:pPr>
      <w:rPr>
        <w:rFonts w:ascii="Wingdings" w:hAnsi="Wingdings"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hint="default"/>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76F60192"/>
    <w:multiLevelType w:val="hybridMultilevel"/>
    <w:tmpl w:val="E5F21E5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A1F4B2C"/>
    <w:multiLevelType w:val="hybridMultilevel"/>
    <w:tmpl w:val="45C05F8C"/>
    <w:lvl w:ilvl="0" w:tplc="3AB0E30C">
      <w:start w:val="1"/>
      <w:numFmt w:val="bullet"/>
      <w:lvlText w:val="►"/>
      <w:lvlJc w:val="left"/>
      <w:pPr>
        <w:ind w:left="2160" w:hanging="360"/>
      </w:pPr>
      <w:rPr>
        <w:rFonts w:ascii="Book Antiqua" w:hAnsi="Book Antiqua"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DE46118"/>
    <w:multiLevelType w:val="hybridMultilevel"/>
    <w:tmpl w:val="448865BA"/>
    <w:lvl w:ilvl="0" w:tplc="3AB0E30C">
      <w:start w:val="1"/>
      <w:numFmt w:val="bullet"/>
      <w:lvlText w:val="►"/>
      <w:lvlJc w:val="left"/>
      <w:pPr>
        <w:ind w:left="2160" w:hanging="360"/>
      </w:pPr>
      <w:rPr>
        <w:rFonts w:ascii="Book Antiqua" w:hAnsi="Book Antiqua"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9"/>
  </w:num>
  <w:num w:numId="3">
    <w:abstractNumId w:val="13"/>
  </w:num>
  <w:num w:numId="4">
    <w:abstractNumId w:val="2"/>
  </w:num>
  <w:num w:numId="5">
    <w:abstractNumId w:val="22"/>
  </w:num>
  <w:num w:numId="6">
    <w:abstractNumId w:val="24"/>
  </w:num>
  <w:num w:numId="7">
    <w:abstractNumId w:val="26"/>
  </w:num>
  <w:num w:numId="8">
    <w:abstractNumId w:val="4"/>
  </w:num>
  <w:num w:numId="9">
    <w:abstractNumId w:val="20"/>
  </w:num>
  <w:num w:numId="10">
    <w:abstractNumId w:val="15"/>
  </w:num>
  <w:num w:numId="11">
    <w:abstractNumId w:val="8"/>
  </w:num>
  <w:num w:numId="12">
    <w:abstractNumId w:val="7"/>
  </w:num>
  <w:num w:numId="13">
    <w:abstractNumId w:val="19"/>
  </w:num>
  <w:num w:numId="14">
    <w:abstractNumId w:val="3"/>
  </w:num>
  <w:num w:numId="15">
    <w:abstractNumId w:val="21"/>
  </w:num>
  <w:num w:numId="16">
    <w:abstractNumId w:val="14"/>
  </w:num>
  <w:num w:numId="17">
    <w:abstractNumId w:val="25"/>
  </w:num>
  <w:num w:numId="18">
    <w:abstractNumId w:val="18"/>
  </w:num>
  <w:num w:numId="19">
    <w:abstractNumId w:val="23"/>
  </w:num>
  <w:num w:numId="20">
    <w:abstractNumId w:val="27"/>
  </w:num>
  <w:num w:numId="21">
    <w:abstractNumId w:val="17"/>
  </w:num>
  <w:num w:numId="22">
    <w:abstractNumId w:val="11"/>
  </w:num>
  <w:num w:numId="23">
    <w:abstractNumId w:val="5"/>
  </w:num>
  <w:num w:numId="24">
    <w:abstractNumId w:val="10"/>
  </w:num>
  <w:num w:numId="25">
    <w:abstractNumId w:val="29"/>
  </w:num>
  <w:num w:numId="26">
    <w:abstractNumId w:val="0"/>
  </w:num>
  <w:num w:numId="27">
    <w:abstractNumId w:val="16"/>
  </w:num>
  <w:num w:numId="28">
    <w:abstractNumId w:val="6"/>
  </w:num>
  <w:num w:numId="29">
    <w:abstractNumId w:val="12"/>
  </w:num>
  <w:num w:numId="30">
    <w:abstractNumId w:val="28"/>
  </w:num>
  <w:num w:numId="3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54"/>
    <w:rsid w:val="00001073"/>
    <w:rsid w:val="00011BDF"/>
    <w:rsid w:val="00022A6A"/>
    <w:rsid w:val="0002453E"/>
    <w:rsid w:val="000315DD"/>
    <w:rsid w:val="00031F81"/>
    <w:rsid w:val="00032157"/>
    <w:rsid w:val="00036E55"/>
    <w:rsid w:val="000401E8"/>
    <w:rsid w:val="00044075"/>
    <w:rsid w:val="000442D1"/>
    <w:rsid w:val="000536D0"/>
    <w:rsid w:val="000601E5"/>
    <w:rsid w:val="000607D4"/>
    <w:rsid w:val="00061EEE"/>
    <w:rsid w:val="00065094"/>
    <w:rsid w:val="000668BF"/>
    <w:rsid w:val="00072AC2"/>
    <w:rsid w:val="000745DD"/>
    <w:rsid w:val="00081666"/>
    <w:rsid w:val="00082D82"/>
    <w:rsid w:val="00097797"/>
    <w:rsid w:val="000A0E8A"/>
    <w:rsid w:val="000D43DD"/>
    <w:rsid w:val="000D52BF"/>
    <w:rsid w:val="000D5A15"/>
    <w:rsid w:val="000D782F"/>
    <w:rsid w:val="000E407B"/>
    <w:rsid w:val="000E52BC"/>
    <w:rsid w:val="000F6B11"/>
    <w:rsid w:val="000F7B6F"/>
    <w:rsid w:val="00102802"/>
    <w:rsid w:val="00104EEE"/>
    <w:rsid w:val="001262B6"/>
    <w:rsid w:val="001359A3"/>
    <w:rsid w:val="001365C0"/>
    <w:rsid w:val="001459E2"/>
    <w:rsid w:val="0016525D"/>
    <w:rsid w:val="00165DC4"/>
    <w:rsid w:val="00166DAE"/>
    <w:rsid w:val="00167A78"/>
    <w:rsid w:val="00171A4C"/>
    <w:rsid w:val="001816D2"/>
    <w:rsid w:val="001946D9"/>
    <w:rsid w:val="001A5346"/>
    <w:rsid w:val="001C2252"/>
    <w:rsid w:val="001C37F0"/>
    <w:rsid w:val="001C7D77"/>
    <w:rsid w:val="001E12D0"/>
    <w:rsid w:val="001E33FB"/>
    <w:rsid w:val="001F0A5F"/>
    <w:rsid w:val="001F4D0B"/>
    <w:rsid w:val="001F4D42"/>
    <w:rsid w:val="00200062"/>
    <w:rsid w:val="0021260C"/>
    <w:rsid w:val="00215D8A"/>
    <w:rsid w:val="002251F6"/>
    <w:rsid w:val="002303E8"/>
    <w:rsid w:val="002525E4"/>
    <w:rsid w:val="0026227C"/>
    <w:rsid w:val="00273234"/>
    <w:rsid w:val="002A2660"/>
    <w:rsid w:val="002A2F15"/>
    <w:rsid w:val="002A2F96"/>
    <w:rsid w:val="002A66C5"/>
    <w:rsid w:val="002B4E04"/>
    <w:rsid w:val="002C4977"/>
    <w:rsid w:val="002D224B"/>
    <w:rsid w:val="002D7345"/>
    <w:rsid w:val="002E25F0"/>
    <w:rsid w:val="002F5FE9"/>
    <w:rsid w:val="00306107"/>
    <w:rsid w:val="003076D8"/>
    <w:rsid w:val="0031454B"/>
    <w:rsid w:val="00331D84"/>
    <w:rsid w:val="003350DA"/>
    <w:rsid w:val="00354348"/>
    <w:rsid w:val="00354392"/>
    <w:rsid w:val="00355F3E"/>
    <w:rsid w:val="00362A8F"/>
    <w:rsid w:val="00366F60"/>
    <w:rsid w:val="00374240"/>
    <w:rsid w:val="003765ED"/>
    <w:rsid w:val="003813E3"/>
    <w:rsid w:val="00383720"/>
    <w:rsid w:val="0038647E"/>
    <w:rsid w:val="003A26EB"/>
    <w:rsid w:val="003B0F40"/>
    <w:rsid w:val="003B3A46"/>
    <w:rsid w:val="003C2E0D"/>
    <w:rsid w:val="003C58E0"/>
    <w:rsid w:val="003D550C"/>
    <w:rsid w:val="003D674D"/>
    <w:rsid w:val="003E1332"/>
    <w:rsid w:val="003E1631"/>
    <w:rsid w:val="003E1EF4"/>
    <w:rsid w:val="003E3454"/>
    <w:rsid w:val="003E5280"/>
    <w:rsid w:val="003E6F67"/>
    <w:rsid w:val="004019C7"/>
    <w:rsid w:val="00406482"/>
    <w:rsid w:val="00417C2B"/>
    <w:rsid w:val="00427371"/>
    <w:rsid w:val="0043030B"/>
    <w:rsid w:val="0043118A"/>
    <w:rsid w:val="0043283B"/>
    <w:rsid w:val="00434CED"/>
    <w:rsid w:val="00450EEB"/>
    <w:rsid w:val="0045584B"/>
    <w:rsid w:val="0045705C"/>
    <w:rsid w:val="004606CE"/>
    <w:rsid w:val="00461F07"/>
    <w:rsid w:val="00463094"/>
    <w:rsid w:val="00467153"/>
    <w:rsid w:val="00473C76"/>
    <w:rsid w:val="00483FE0"/>
    <w:rsid w:val="004A507F"/>
    <w:rsid w:val="004D0582"/>
    <w:rsid w:val="004D1579"/>
    <w:rsid w:val="004E3F93"/>
    <w:rsid w:val="005067E1"/>
    <w:rsid w:val="005103A3"/>
    <w:rsid w:val="0053112A"/>
    <w:rsid w:val="005366FC"/>
    <w:rsid w:val="00542D10"/>
    <w:rsid w:val="00544468"/>
    <w:rsid w:val="00553C16"/>
    <w:rsid w:val="005762D8"/>
    <w:rsid w:val="0058306B"/>
    <w:rsid w:val="005A0A07"/>
    <w:rsid w:val="005A2A01"/>
    <w:rsid w:val="005A57AB"/>
    <w:rsid w:val="005A7677"/>
    <w:rsid w:val="005C1549"/>
    <w:rsid w:val="005C527D"/>
    <w:rsid w:val="005D0804"/>
    <w:rsid w:val="005D54C9"/>
    <w:rsid w:val="005E0858"/>
    <w:rsid w:val="00601E58"/>
    <w:rsid w:val="00603678"/>
    <w:rsid w:val="00604538"/>
    <w:rsid w:val="006104F9"/>
    <w:rsid w:val="0061252A"/>
    <w:rsid w:val="00612C54"/>
    <w:rsid w:val="006147D6"/>
    <w:rsid w:val="00620003"/>
    <w:rsid w:val="00634726"/>
    <w:rsid w:val="006455A0"/>
    <w:rsid w:val="00645A2B"/>
    <w:rsid w:val="00662ABF"/>
    <w:rsid w:val="0066700F"/>
    <w:rsid w:val="00671EE4"/>
    <w:rsid w:val="00672E15"/>
    <w:rsid w:val="006772B8"/>
    <w:rsid w:val="00677CA1"/>
    <w:rsid w:val="006A63B9"/>
    <w:rsid w:val="006B6D5B"/>
    <w:rsid w:val="006B7B29"/>
    <w:rsid w:val="006C0732"/>
    <w:rsid w:val="006D36B1"/>
    <w:rsid w:val="006E4E35"/>
    <w:rsid w:val="006F3E25"/>
    <w:rsid w:val="007022FC"/>
    <w:rsid w:val="007103D9"/>
    <w:rsid w:val="00710F2C"/>
    <w:rsid w:val="0072328F"/>
    <w:rsid w:val="00727A24"/>
    <w:rsid w:val="00745D51"/>
    <w:rsid w:val="00761508"/>
    <w:rsid w:val="00762532"/>
    <w:rsid w:val="00766AFC"/>
    <w:rsid w:val="007714FF"/>
    <w:rsid w:val="00773725"/>
    <w:rsid w:val="007806E5"/>
    <w:rsid w:val="00782CAA"/>
    <w:rsid w:val="00783596"/>
    <w:rsid w:val="007A4327"/>
    <w:rsid w:val="007C5E87"/>
    <w:rsid w:val="007C6CCA"/>
    <w:rsid w:val="007E0BB2"/>
    <w:rsid w:val="007E31AB"/>
    <w:rsid w:val="007E72B2"/>
    <w:rsid w:val="007F3783"/>
    <w:rsid w:val="007F467E"/>
    <w:rsid w:val="00800EC7"/>
    <w:rsid w:val="008031A2"/>
    <w:rsid w:val="00803B72"/>
    <w:rsid w:val="00807BD7"/>
    <w:rsid w:val="0081115E"/>
    <w:rsid w:val="00817500"/>
    <w:rsid w:val="00824451"/>
    <w:rsid w:val="00824F1F"/>
    <w:rsid w:val="0082615D"/>
    <w:rsid w:val="008315A5"/>
    <w:rsid w:val="00841843"/>
    <w:rsid w:val="0085202F"/>
    <w:rsid w:val="00855F88"/>
    <w:rsid w:val="00860F30"/>
    <w:rsid w:val="0086535E"/>
    <w:rsid w:val="00886B91"/>
    <w:rsid w:val="00890929"/>
    <w:rsid w:val="00891DCD"/>
    <w:rsid w:val="008B07E6"/>
    <w:rsid w:val="008B52BD"/>
    <w:rsid w:val="008C6D51"/>
    <w:rsid w:val="008D5D9C"/>
    <w:rsid w:val="008E3D7A"/>
    <w:rsid w:val="008E712C"/>
    <w:rsid w:val="008F6AB6"/>
    <w:rsid w:val="009017D4"/>
    <w:rsid w:val="00907DDC"/>
    <w:rsid w:val="00914BE3"/>
    <w:rsid w:val="00923FA3"/>
    <w:rsid w:val="00926981"/>
    <w:rsid w:val="009614B2"/>
    <w:rsid w:val="00977851"/>
    <w:rsid w:val="00977BFF"/>
    <w:rsid w:val="00985AEA"/>
    <w:rsid w:val="009876CB"/>
    <w:rsid w:val="009931C3"/>
    <w:rsid w:val="009A573E"/>
    <w:rsid w:val="009A690C"/>
    <w:rsid w:val="009B2588"/>
    <w:rsid w:val="009D0C45"/>
    <w:rsid w:val="009D5FE7"/>
    <w:rsid w:val="00A05132"/>
    <w:rsid w:val="00A11F64"/>
    <w:rsid w:val="00A23658"/>
    <w:rsid w:val="00A23DA7"/>
    <w:rsid w:val="00A359C6"/>
    <w:rsid w:val="00A3759B"/>
    <w:rsid w:val="00A423CF"/>
    <w:rsid w:val="00A942EC"/>
    <w:rsid w:val="00AA2E9B"/>
    <w:rsid w:val="00AA774C"/>
    <w:rsid w:val="00AB1E5C"/>
    <w:rsid w:val="00AC1391"/>
    <w:rsid w:val="00AC7DF3"/>
    <w:rsid w:val="00AE3A50"/>
    <w:rsid w:val="00AE5515"/>
    <w:rsid w:val="00AE5EC7"/>
    <w:rsid w:val="00AF16BD"/>
    <w:rsid w:val="00B00054"/>
    <w:rsid w:val="00B2278A"/>
    <w:rsid w:val="00B24EE5"/>
    <w:rsid w:val="00B3105B"/>
    <w:rsid w:val="00B322DC"/>
    <w:rsid w:val="00B33798"/>
    <w:rsid w:val="00B33A7E"/>
    <w:rsid w:val="00B40D0C"/>
    <w:rsid w:val="00B5293E"/>
    <w:rsid w:val="00B542D6"/>
    <w:rsid w:val="00B54B5C"/>
    <w:rsid w:val="00B55D3D"/>
    <w:rsid w:val="00B630ED"/>
    <w:rsid w:val="00B63C9F"/>
    <w:rsid w:val="00B66D76"/>
    <w:rsid w:val="00B84276"/>
    <w:rsid w:val="00B9390A"/>
    <w:rsid w:val="00BA0F11"/>
    <w:rsid w:val="00BC056B"/>
    <w:rsid w:val="00BD2B15"/>
    <w:rsid w:val="00BD4F7D"/>
    <w:rsid w:val="00BE5593"/>
    <w:rsid w:val="00BE7B28"/>
    <w:rsid w:val="00BE7CAC"/>
    <w:rsid w:val="00BF63C2"/>
    <w:rsid w:val="00BF7C45"/>
    <w:rsid w:val="00BF7E56"/>
    <w:rsid w:val="00C02B1D"/>
    <w:rsid w:val="00C03B84"/>
    <w:rsid w:val="00C12EE3"/>
    <w:rsid w:val="00C216B4"/>
    <w:rsid w:val="00C21744"/>
    <w:rsid w:val="00C2792D"/>
    <w:rsid w:val="00C27AAD"/>
    <w:rsid w:val="00C335D3"/>
    <w:rsid w:val="00C419BF"/>
    <w:rsid w:val="00C53BDD"/>
    <w:rsid w:val="00C54A6E"/>
    <w:rsid w:val="00C556F4"/>
    <w:rsid w:val="00C64D4D"/>
    <w:rsid w:val="00C67746"/>
    <w:rsid w:val="00C9108F"/>
    <w:rsid w:val="00CA16B7"/>
    <w:rsid w:val="00CA1CD3"/>
    <w:rsid w:val="00CA7F5C"/>
    <w:rsid w:val="00CB211E"/>
    <w:rsid w:val="00CB2F10"/>
    <w:rsid w:val="00CD1EF1"/>
    <w:rsid w:val="00CD4C7C"/>
    <w:rsid w:val="00CF21D5"/>
    <w:rsid w:val="00CF7060"/>
    <w:rsid w:val="00CF719F"/>
    <w:rsid w:val="00D006AA"/>
    <w:rsid w:val="00D01DAD"/>
    <w:rsid w:val="00D03692"/>
    <w:rsid w:val="00D0472A"/>
    <w:rsid w:val="00D04C26"/>
    <w:rsid w:val="00D06C6D"/>
    <w:rsid w:val="00D14FB1"/>
    <w:rsid w:val="00D21F36"/>
    <w:rsid w:val="00D24F3B"/>
    <w:rsid w:val="00D46F1F"/>
    <w:rsid w:val="00D52A9C"/>
    <w:rsid w:val="00D53B57"/>
    <w:rsid w:val="00D54E7B"/>
    <w:rsid w:val="00D55A06"/>
    <w:rsid w:val="00D631B8"/>
    <w:rsid w:val="00D643A8"/>
    <w:rsid w:val="00D644C4"/>
    <w:rsid w:val="00D909C3"/>
    <w:rsid w:val="00DA2420"/>
    <w:rsid w:val="00DC2DAD"/>
    <w:rsid w:val="00DD4479"/>
    <w:rsid w:val="00DD56CC"/>
    <w:rsid w:val="00DD61A3"/>
    <w:rsid w:val="00DE3E2D"/>
    <w:rsid w:val="00DE41CD"/>
    <w:rsid w:val="00DF4E4E"/>
    <w:rsid w:val="00E026C6"/>
    <w:rsid w:val="00E028C2"/>
    <w:rsid w:val="00E1508D"/>
    <w:rsid w:val="00E16075"/>
    <w:rsid w:val="00E24CD7"/>
    <w:rsid w:val="00E33C06"/>
    <w:rsid w:val="00E3533D"/>
    <w:rsid w:val="00E371C8"/>
    <w:rsid w:val="00E468BD"/>
    <w:rsid w:val="00E52832"/>
    <w:rsid w:val="00E54DD0"/>
    <w:rsid w:val="00E55FDA"/>
    <w:rsid w:val="00E60E0F"/>
    <w:rsid w:val="00E62289"/>
    <w:rsid w:val="00E665BF"/>
    <w:rsid w:val="00E670CA"/>
    <w:rsid w:val="00E7246A"/>
    <w:rsid w:val="00E74A69"/>
    <w:rsid w:val="00E8086D"/>
    <w:rsid w:val="00E80EE5"/>
    <w:rsid w:val="00E832D0"/>
    <w:rsid w:val="00E86724"/>
    <w:rsid w:val="00E90332"/>
    <w:rsid w:val="00E9375D"/>
    <w:rsid w:val="00E93DF8"/>
    <w:rsid w:val="00E9456D"/>
    <w:rsid w:val="00EA3782"/>
    <w:rsid w:val="00EA7B1B"/>
    <w:rsid w:val="00EB7BEA"/>
    <w:rsid w:val="00EC568D"/>
    <w:rsid w:val="00EF0AD6"/>
    <w:rsid w:val="00EF3618"/>
    <w:rsid w:val="00F14BC8"/>
    <w:rsid w:val="00F17B2D"/>
    <w:rsid w:val="00F2019B"/>
    <w:rsid w:val="00F21B4B"/>
    <w:rsid w:val="00F27196"/>
    <w:rsid w:val="00F34E5B"/>
    <w:rsid w:val="00F40A4F"/>
    <w:rsid w:val="00F529B0"/>
    <w:rsid w:val="00F53BF1"/>
    <w:rsid w:val="00F562A0"/>
    <w:rsid w:val="00F5677D"/>
    <w:rsid w:val="00F56931"/>
    <w:rsid w:val="00F675CE"/>
    <w:rsid w:val="00F70101"/>
    <w:rsid w:val="00F70871"/>
    <w:rsid w:val="00F71685"/>
    <w:rsid w:val="00F73A99"/>
    <w:rsid w:val="00F76BBD"/>
    <w:rsid w:val="00F82687"/>
    <w:rsid w:val="00F923BD"/>
    <w:rsid w:val="00F93FD8"/>
    <w:rsid w:val="00FA5F6A"/>
    <w:rsid w:val="00FB0713"/>
    <w:rsid w:val="00FC2362"/>
    <w:rsid w:val="00FD7D2D"/>
    <w:rsid w:val="00FE36F6"/>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82"/>
    <w:rPr>
      <w:sz w:val="24"/>
      <w:szCs w:val="24"/>
    </w:rPr>
  </w:style>
  <w:style w:type="paragraph" w:styleId="Heading2">
    <w:name w:val="heading 2"/>
    <w:basedOn w:val="Normal"/>
    <w:next w:val="Normal"/>
    <w:link w:val="Heading2Char"/>
    <w:uiPriority w:val="99"/>
    <w:qFormat/>
    <w:rsid w:val="001C37F0"/>
    <w:pPr>
      <w:keepNext/>
      <w:outlineLvl w:val="1"/>
    </w:pPr>
    <w:rPr>
      <w:rFonts w:ascii="Arial" w:hAnsi="Arial"/>
      <w:sz w:val="36"/>
      <w:szCs w:val="20"/>
    </w:rPr>
  </w:style>
  <w:style w:type="paragraph" w:styleId="Heading4">
    <w:name w:val="heading 4"/>
    <w:basedOn w:val="Normal"/>
    <w:next w:val="Normal"/>
    <w:link w:val="Heading4Char"/>
    <w:uiPriority w:val="99"/>
    <w:qFormat/>
    <w:locked/>
    <w:rsid w:val="00461F0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525E4"/>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AA774C"/>
    <w:rPr>
      <w:rFonts w:ascii="Calibri" w:hAnsi="Calibri" w:cs="Times New Roman"/>
      <w:b/>
      <w:bCs/>
      <w:sz w:val="28"/>
      <w:szCs w:val="28"/>
    </w:rPr>
  </w:style>
  <w:style w:type="character" w:styleId="HTMLAcronym">
    <w:name w:val="HTML Acronym"/>
    <w:basedOn w:val="DefaultParagraphFont"/>
    <w:uiPriority w:val="99"/>
    <w:rsid w:val="00B00054"/>
    <w:rPr>
      <w:rFonts w:cs="Times New Roman"/>
    </w:rPr>
  </w:style>
  <w:style w:type="table" w:styleId="TableGrid">
    <w:name w:val="Table Grid"/>
    <w:basedOn w:val="TableNormal"/>
    <w:uiPriority w:val="99"/>
    <w:rsid w:val="006772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817500"/>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2NormalBold">
    <w:name w:val="2Normal + Bold"/>
    <w:basedOn w:val="Normal"/>
    <w:uiPriority w:val="99"/>
    <w:rsid w:val="001C37F0"/>
    <w:pPr>
      <w:tabs>
        <w:tab w:val="num" w:pos="720"/>
      </w:tabs>
      <w:ind w:left="720" w:hanging="360"/>
    </w:pPr>
    <w:rPr>
      <w:b/>
    </w:rPr>
  </w:style>
  <w:style w:type="paragraph" w:styleId="BodyText">
    <w:name w:val="Body Text"/>
    <w:basedOn w:val="Normal"/>
    <w:link w:val="BodyTextChar"/>
    <w:uiPriority w:val="99"/>
    <w:rsid w:val="001C37F0"/>
    <w:rPr>
      <w:rFonts w:ascii="Arial" w:hAnsi="Arial"/>
      <w:sz w:val="22"/>
      <w:szCs w:val="20"/>
    </w:rPr>
  </w:style>
  <w:style w:type="character" w:customStyle="1" w:styleId="BodyTextChar">
    <w:name w:val="Body Text Char"/>
    <w:basedOn w:val="DefaultParagraphFont"/>
    <w:link w:val="BodyText"/>
    <w:uiPriority w:val="99"/>
    <w:semiHidden/>
    <w:locked/>
    <w:rsid w:val="002525E4"/>
    <w:rPr>
      <w:rFonts w:cs="Times New Roman"/>
      <w:sz w:val="24"/>
      <w:szCs w:val="24"/>
    </w:rPr>
  </w:style>
  <w:style w:type="paragraph" w:styleId="Header">
    <w:name w:val="header"/>
    <w:basedOn w:val="Normal"/>
    <w:link w:val="HeaderChar"/>
    <w:uiPriority w:val="99"/>
    <w:rsid w:val="00FE36F6"/>
    <w:pPr>
      <w:tabs>
        <w:tab w:val="center" w:pos="4320"/>
        <w:tab w:val="right" w:pos="8640"/>
      </w:tabs>
    </w:pPr>
  </w:style>
  <w:style w:type="character" w:customStyle="1" w:styleId="HeaderChar">
    <w:name w:val="Header Char"/>
    <w:basedOn w:val="DefaultParagraphFont"/>
    <w:link w:val="Header"/>
    <w:uiPriority w:val="99"/>
    <w:semiHidden/>
    <w:locked/>
    <w:rsid w:val="002525E4"/>
    <w:rPr>
      <w:rFonts w:cs="Times New Roman"/>
      <w:sz w:val="24"/>
      <w:szCs w:val="24"/>
    </w:rPr>
  </w:style>
  <w:style w:type="paragraph" w:styleId="Footer">
    <w:name w:val="footer"/>
    <w:basedOn w:val="Normal"/>
    <w:link w:val="FooterChar"/>
    <w:uiPriority w:val="99"/>
    <w:rsid w:val="00FE36F6"/>
    <w:pPr>
      <w:tabs>
        <w:tab w:val="center" w:pos="4320"/>
        <w:tab w:val="right" w:pos="8640"/>
      </w:tabs>
    </w:pPr>
  </w:style>
  <w:style w:type="character" w:customStyle="1" w:styleId="FooterChar">
    <w:name w:val="Footer Char"/>
    <w:basedOn w:val="DefaultParagraphFont"/>
    <w:link w:val="Footer"/>
    <w:uiPriority w:val="99"/>
    <w:semiHidden/>
    <w:locked/>
    <w:rsid w:val="002525E4"/>
    <w:rPr>
      <w:rFonts w:cs="Times New Roman"/>
      <w:sz w:val="24"/>
      <w:szCs w:val="24"/>
    </w:rPr>
  </w:style>
  <w:style w:type="character" w:styleId="PageNumber">
    <w:name w:val="page number"/>
    <w:basedOn w:val="DefaultParagraphFont"/>
    <w:uiPriority w:val="99"/>
    <w:rsid w:val="00FE36F6"/>
    <w:rPr>
      <w:rFonts w:cs="Times New Roman"/>
    </w:rPr>
  </w:style>
  <w:style w:type="paragraph" w:styleId="BalloonText">
    <w:name w:val="Balloon Text"/>
    <w:basedOn w:val="Normal"/>
    <w:link w:val="BalloonTextChar"/>
    <w:uiPriority w:val="99"/>
    <w:semiHidden/>
    <w:rsid w:val="00082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5E4"/>
    <w:rPr>
      <w:rFonts w:cs="Times New Roman"/>
      <w:sz w:val="2"/>
    </w:rPr>
  </w:style>
  <w:style w:type="character" w:styleId="Hyperlink">
    <w:name w:val="Hyperlink"/>
    <w:basedOn w:val="DefaultParagraphFont"/>
    <w:uiPriority w:val="99"/>
    <w:rsid w:val="00F21B4B"/>
    <w:rPr>
      <w:rFonts w:cs="Times New Roman"/>
      <w:color w:val="0000FF"/>
      <w:u w:val="single"/>
    </w:rPr>
  </w:style>
  <w:style w:type="character" w:styleId="Strong">
    <w:name w:val="Strong"/>
    <w:basedOn w:val="DefaultParagraphFont"/>
    <w:uiPriority w:val="99"/>
    <w:qFormat/>
    <w:locked/>
    <w:rsid w:val="007806E5"/>
    <w:rPr>
      <w:rFonts w:cs="Times New Roman"/>
      <w:b/>
      <w:bCs/>
    </w:rPr>
  </w:style>
  <w:style w:type="paragraph" w:customStyle="1" w:styleId="1NormalGray-80">
    <w:name w:val="1Normal + Gray-80%"/>
    <w:aliases w:val="Justified,Right:  0.1&quot;,Before:  3.75 pt,After:  3.75 pt......"/>
    <w:basedOn w:val="Normal"/>
    <w:uiPriority w:val="99"/>
    <w:rsid w:val="0045584B"/>
    <w:pPr>
      <w:shd w:val="clear" w:color="auto" w:fill="FFFFFF"/>
      <w:tabs>
        <w:tab w:val="num" w:pos="870"/>
      </w:tabs>
      <w:spacing w:before="75" w:after="75"/>
      <w:ind w:left="864" w:right="144" w:hanging="360"/>
      <w:jc w:val="both"/>
    </w:pPr>
    <w:rPr>
      <w:color w:val="333333"/>
    </w:rPr>
  </w:style>
  <w:style w:type="paragraph" w:customStyle="1" w:styleId="Boldarrow">
    <w:name w:val="Bold arrow"/>
    <w:basedOn w:val="2NormalBold"/>
    <w:uiPriority w:val="99"/>
    <w:rsid w:val="003C2E0D"/>
    <w:pPr>
      <w:numPr>
        <w:numId w:val="7"/>
      </w:numPr>
      <w:ind w:left="360"/>
    </w:pPr>
  </w:style>
  <w:style w:type="table" w:styleId="TableSimple1">
    <w:name w:val="Table Simple 1"/>
    <w:basedOn w:val="TableNormal"/>
    <w:uiPriority w:val="99"/>
    <w:rsid w:val="003C2E0D"/>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DocumentMap">
    <w:name w:val="Document Map"/>
    <w:basedOn w:val="Normal"/>
    <w:link w:val="DocumentMapChar"/>
    <w:uiPriority w:val="99"/>
    <w:semiHidden/>
    <w:rsid w:val="009876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D1579"/>
    <w:rPr>
      <w:rFonts w:cs="Times New Roman"/>
      <w:sz w:val="2"/>
    </w:rPr>
  </w:style>
  <w:style w:type="character" w:styleId="CommentReference">
    <w:name w:val="annotation reference"/>
    <w:basedOn w:val="DefaultParagraphFont"/>
    <w:uiPriority w:val="99"/>
    <w:semiHidden/>
    <w:rsid w:val="00782CAA"/>
    <w:rPr>
      <w:rFonts w:cs="Times New Roman"/>
      <w:sz w:val="16"/>
      <w:szCs w:val="16"/>
    </w:rPr>
  </w:style>
  <w:style w:type="paragraph" w:styleId="CommentText">
    <w:name w:val="annotation text"/>
    <w:basedOn w:val="Normal"/>
    <w:link w:val="CommentTextChar"/>
    <w:uiPriority w:val="99"/>
    <w:semiHidden/>
    <w:rsid w:val="00782CAA"/>
    <w:rPr>
      <w:sz w:val="20"/>
      <w:szCs w:val="20"/>
    </w:rPr>
  </w:style>
  <w:style w:type="character" w:customStyle="1" w:styleId="CommentTextChar">
    <w:name w:val="Comment Text Char"/>
    <w:basedOn w:val="DefaultParagraphFont"/>
    <w:link w:val="CommentText"/>
    <w:uiPriority w:val="99"/>
    <w:semiHidden/>
    <w:locked/>
    <w:rsid w:val="00AA774C"/>
    <w:rPr>
      <w:rFonts w:cs="Times New Roman"/>
      <w:sz w:val="20"/>
      <w:szCs w:val="20"/>
    </w:rPr>
  </w:style>
  <w:style w:type="paragraph" w:styleId="CommentSubject">
    <w:name w:val="annotation subject"/>
    <w:basedOn w:val="CommentText"/>
    <w:next w:val="CommentText"/>
    <w:link w:val="CommentSubjectChar"/>
    <w:uiPriority w:val="99"/>
    <w:semiHidden/>
    <w:rsid w:val="00782CAA"/>
    <w:rPr>
      <w:b/>
      <w:bCs/>
    </w:rPr>
  </w:style>
  <w:style w:type="character" w:customStyle="1" w:styleId="CommentSubjectChar">
    <w:name w:val="Comment Subject Char"/>
    <w:basedOn w:val="CommentTextChar"/>
    <w:link w:val="CommentSubject"/>
    <w:uiPriority w:val="99"/>
    <w:semiHidden/>
    <w:locked/>
    <w:rsid w:val="00AA774C"/>
    <w:rPr>
      <w:rFonts w:cs="Times New Roman"/>
      <w:b/>
      <w:bCs/>
      <w:sz w:val="20"/>
      <w:szCs w:val="20"/>
    </w:rPr>
  </w:style>
  <w:style w:type="paragraph" w:styleId="ListParagraph">
    <w:name w:val="List Paragraph"/>
    <w:basedOn w:val="Normal"/>
    <w:uiPriority w:val="34"/>
    <w:qFormat/>
    <w:rsid w:val="00576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82"/>
    <w:rPr>
      <w:sz w:val="24"/>
      <w:szCs w:val="24"/>
    </w:rPr>
  </w:style>
  <w:style w:type="paragraph" w:styleId="Heading2">
    <w:name w:val="heading 2"/>
    <w:basedOn w:val="Normal"/>
    <w:next w:val="Normal"/>
    <w:link w:val="Heading2Char"/>
    <w:uiPriority w:val="99"/>
    <w:qFormat/>
    <w:rsid w:val="001C37F0"/>
    <w:pPr>
      <w:keepNext/>
      <w:outlineLvl w:val="1"/>
    </w:pPr>
    <w:rPr>
      <w:rFonts w:ascii="Arial" w:hAnsi="Arial"/>
      <w:sz w:val="36"/>
      <w:szCs w:val="20"/>
    </w:rPr>
  </w:style>
  <w:style w:type="paragraph" w:styleId="Heading4">
    <w:name w:val="heading 4"/>
    <w:basedOn w:val="Normal"/>
    <w:next w:val="Normal"/>
    <w:link w:val="Heading4Char"/>
    <w:uiPriority w:val="99"/>
    <w:qFormat/>
    <w:locked/>
    <w:rsid w:val="00461F0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525E4"/>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AA774C"/>
    <w:rPr>
      <w:rFonts w:ascii="Calibri" w:hAnsi="Calibri" w:cs="Times New Roman"/>
      <w:b/>
      <w:bCs/>
      <w:sz w:val="28"/>
      <w:szCs w:val="28"/>
    </w:rPr>
  </w:style>
  <w:style w:type="character" w:styleId="HTMLAcronym">
    <w:name w:val="HTML Acronym"/>
    <w:basedOn w:val="DefaultParagraphFont"/>
    <w:uiPriority w:val="99"/>
    <w:rsid w:val="00B00054"/>
    <w:rPr>
      <w:rFonts w:cs="Times New Roman"/>
    </w:rPr>
  </w:style>
  <w:style w:type="table" w:styleId="TableGrid">
    <w:name w:val="Table Grid"/>
    <w:basedOn w:val="TableNormal"/>
    <w:uiPriority w:val="99"/>
    <w:rsid w:val="006772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817500"/>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2NormalBold">
    <w:name w:val="2Normal + Bold"/>
    <w:basedOn w:val="Normal"/>
    <w:uiPriority w:val="99"/>
    <w:rsid w:val="001C37F0"/>
    <w:pPr>
      <w:tabs>
        <w:tab w:val="num" w:pos="720"/>
      </w:tabs>
      <w:ind w:left="720" w:hanging="360"/>
    </w:pPr>
    <w:rPr>
      <w:b/>
    </w:rPr>
  </w:style>
  <w:style w:type="paragraph" w:styleId="BodyText">
    <w:name w:val="Body Text"/>
    <w:basedOn w:val="Normal"/>
    <w:link w:val="BodyTextChar"/>
    <w:uiPriority w:val="99"/>
    <w:rsid w:val="001C37F0"/>
    <w:rPr>
      <w:rFonts w:ascii="Arial" w:hAnsi="Arial"/>
      <w:sz w:val="22"/>
      <w:szCs w:val="20"/>
    </w:rPr>
  </w:style>
  <w:style w:type="character" w:customStyle="1" w:styleId="BodyTextChar">
    <w:name w:val="Body Text Char"/>
    <w:basedOn w:val="DefaultParagraphFont"/>
    <w:link w:val="BodyText"/>
    <w:uiPriority w:val="99"/>
    <w:semiHidden/>
    <w:locked/>
    <w:rsid w:val="002525E4"/>
    <w:rPr>
      <w:rFonts w:cs="Times New Roman"/>
      <w:sz w:val="24"/>
      <w:szCs w:val="24"/>
    </w:rPr>
  </w:style>
  <w:style w:type="paragraph" w:styleId="Header">
    <w:name w:val="header"/>
    <w:basedOn w:val="Normal"/>
    <w:link w:val="HeaderChar"/>
    <w:uiPriority w:val="99"/>
    <w:rsid w:val="00FE36F6"/>
    <w:pPr>
      <w:tabs>
        <w:tab w:val="center" w:pos="4320"/>
        <w:tab w:val="right" w:pos="8640"/>
      </w:tabs>
    </w:pPr>
  </w:style>
  <w:style w:type="character" w:customStyle="1" w:styleId="HeaderChar">
    <w:name w:val="Header Char"/>
    <w:basedOn w:val="DefaultParagraphFont"/>
    <w:link w:val="Header"/>
    <w:uiPriority w:val="99"/>
    <w:semiHidden/>
    <w:locked/>
    <w:rsid w:val="002525E4"/>
    <w:rPr>
      <w:rFonts w:cs="Times New Roman"/>
      <w:sz w:val="24"/>
      <w:szCs w:val="24"/>
    </w:rPr>
  </w:style>
  <w:style w:type="paragraph" w:styleId="Footer">
    <w:name w:val="footer"/>
    <w:basedOn w:val="Normal"/>
    <w:link w:val="FooterChar"/>
    <w:uiPriority w:val="99"/>
    <w:rsid w:val="00FE36F6"/>
    <w:pPr>
      <w:tabs>
        <w:tab w:val="center" w:pos="4320"/>
        <w:tab w:val="right" w:pos="8640"/>
      </w:tabs>
    </w:pPr>
  </w:style>
  <w:style w:type="character" w:customStyle="1" w:styleId="FooterChar">
    <w:name w:val="Footer Char"/>
    <w:basedOn w:val="DefaultParagraphFont"/>
    <w:link w:val="Footer"/>
    <w:uiPriority w:val="99"/>
    <w:semiHidden/>
    <w:locked/>
    <w:rsid w:val="002525E4"/>
    <w:rPr>
      <w:rFonts w:cs="Times New Roman"/>
      <w:sz w:val="24"/>
      <w:szCs w:val="24"/>
    </w:rPr>
  </w:style>
  <w:style w:type="character" w:styleId="PageNumber">
    <w:name w:val="page number"/>
    <w:basedOn w:val="DefaultParagraphFont"/>
    <w:uiPriority w:val="99"/>
    <w:rsid w:val="00FE36F6"/>
    <w:rPr>
      <w:rFonts w:cs="Times New Roman"/>
    </w:rPr>
  </w:style>
  <w:style w:type="paragraph" w:styleId="BalloonText">
    <w:name w:val="Balloon Text"/>
    <w:basedOn w:val="Normal"/>
    <w:link w:val="BalloonTextChar"/>
    <w:uiPriority w:val="99"/>
    <w:semiHidden/>
    <w:rsid w:val="00082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5E4"/>
    <w:rPr>
      <w:rFonts w:cs="Times New Roman"/>
      <w:sz w:val="2"/>
    </w:rPr>
  </w:style>
  <w:style w:type="character" w:styleId="Hyperlink">
    <w:name w:val="Hyperlink"/>
    <w:basedOn w:val="DefaultParagraphFont"/>
    <w:uiPriority w:val="99"/>
    <w:rsid w:val="00F21B4B"/>
    <w:rPr>
      <w:rFonts w:cs="Times New Roman"/>
      <w:color w:val="0000FF"/>
      <w:u w:val="single"/>
    </w:rPr>
  </w:style>
  <w:style w:type="character" w:styleId="Strong">
    <w:name w:val="Strong"/>
    <w:basedOn w:val="DefaultParagraphFont"/>
    <w:uiPriority w:val="99"/>
    <w:qFormat/>
    <w:locked/>
    <w:rsid w:val="007806E5"/>
    <w:rPr>
      <w:rFonts w:cs="Times New Roman"/>
      <w:b/>
      <w:bCs/>
    </w:rPr>
  </w:style>
  <w:style w:type="paragraph" w:customStyle="1" w:styleId="1NormalGray-80">
    <w:name w:val="1Normal + Gray-80%"/>
    <w:aliases w:val="Justified,Right:  0.1&quot;,Before:  3.75 pt,After:  3.75 pt......"/>
    <w:basedOn w:val="Normal"/>
    <w:uiPriority w:val="99"/>
    <w:rsid w:val="0045584B"/>
    <w:pPr>
      <w:shd w:val="clear" w:color="auto" w:fill="FFFFFF"/>
      <w:tabs>
        <w:tab w:val="num" w:pos="870"/>
      </w:tabs>
      <w:spacing w:before="75" w:after="75"/>
      <w:ind w:left="864" w:right="144" w:hanging="360"/>
      <w:jc w:val="both"/>
    </w:pPr>
    <w:rPr>
      <w:color w:val="333333"/>
    </w:rPr>
  </w:style>
  <w:style w:type="paragraph" w:customStyle="1" w:styleId="Boldarrow">
    <w:name w:val="Bold arrow"/>
    <w:basedOn w:val="2NormalBold"/>
    <w:uiPriority w:val="99"/>
    <w:rsid w:val="003C2E0D"/>
    <w:pPr>
      <w:numPr>
        <w:numId w:val="7"/>
      </w:numPr>
      <w:ind w:left="360"/>
    </w:pPr>
  </w:style>
  <w:style w:type="table" w:styleId="TableSimple1">
    <w:name w:val="Table Simple 1"/>
    <w:basedOn w:val="TableNormal"/>
    <w:uiPriority w:val="99"/>
    <w:rsid w:val="003C2E0D"/>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DocumentMap">
    <w:name w:val="Document Map"/>
    <w:basedOn w:val="Normal"/>
    <w:link w:val="DocumentMapChar"/>
    <w:uiPriority w:val="99"/>
    <w:semiHidden/>
    <w:rsid w:val="009876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D1579"/>
    <w:rPr>
      <w:rFonts w:cs="Times New Roman"/>
      <w:sz w:val="2"/>
    </w:rPr>
  </w:style>
  <w:style w:type="character" w:styleId="CommentReference">
    <w:name w:val="annotation reference"/>
    <w:basedOn w:val="DefaultParagraphFont"/>
    <w:uiPriority w:val="99"/>
    <w:semiHidden/>
    <w:rsid w:val="00782CAA"/>
    <w:rPr>
      <w:rFonts w:cs="Times New Roman"/>
      <w:sz w:val="16"/>
      <w:szCs w:val="16"/>
    </w:rPr>
  </w:style>
  <w:style w:type="paragraph" w:styleId="CommentText">
    <w:name w:val="annotation text"/>
    <w:basedOn w:val="Normal"/>
    <w:link w:val="CommentTextChar"/>
    <w:uiPriority w:val="99"/>
    <w:semiHidden/>
    <w:rsid w:val="00782CAA"/>
    <w:rPr>
      <w:sz w:val="20"/>
      <w:szCs w:val="20"/>
    </w:rPr>
  </w:style>
  <w:style w:type="character" w:customStyle="1" w:styleId="CommentTextChar">
    <w:name w:val="Comment Text Char"/>
    <w:basedOn w:val="DefaultParagraphFont"/>
    <w:link w:val="CommentText"/>
    <w:uiPriority w:val="99"/>
    <w:semiHidden/>
    <w:locked/>
    <w:rsid w:val="00AA774C"/>
    <w:rPr>
      <w:rFonts w:cs="Times New Roman"/>
      <w:sz w:val="20"/>
      <w:szCs w:val="20"/>
    </w:rPr>
  </w:style>
  <w:style w:type="paragraph" w:styleId="CommentSubject">
    <w:name w:val="annotation subject"/>
    <w:basedOn w:val="CommentText"/>
    <w:next w:val="CommentText"/>
    <w:link w:val="CommentSubjectChar"/>
    <w:uiPriority w:val="99"/>
    <w:semiHidden/>
    <w:rsid w:val="00782CAA"/>
    <w:rPr>
      <w:b/>
      <w:bCs/>
    </w:rPr>
  </w:style>
  <w:style w:type="character" w:customStyle="1" w:styleId="CommentSubjectChar">
    <w:name w:val="Comment Subject Char"/>
    <w:basedOn w:val="CommentTextChar"/>
    <w:link w:val="CommentSubject"/>
    <w:uiPriority w:val="99"/>
    <w:semiHidden/>
    <w:locked/>
    <w:rsid w:val="00AA774C"/>
    <w:rPr>
      <w:rFonts w:cs="Times New Roman"/>
      <w:b/>
      <w:bCs/>
      <w:sz w:val="20"/>
      <w:szCs w:val="20"/>
    </w:rPr>
  </w:style>
  <w:style w:type="paragraph" w:styleId="ListParagraph">
    <w:name w:val="List Paragraph"/>
    <w:basedOn w:val="Normal"/>
    <w:uiPriority w:val="34"/>
    <w:qFormat/>
    <w:rsid w:val="00576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89407">
      <w:bodyDiv w:val="1"/>
      <w:marLeft w:val="0"/>
      <w:marRight w:val="0"/>
      <w:marTop w:val="0"/>
      <w:marBottom w:val="0"/>
      <w:divBdr>
        <w:top w:val="none" w:sz="0" w:space="0" w:color="auto"/>
        <w:left w:val="none" w:sz="0" w:space="0" w:color="auto"/>
        <w:bottom w:val="none" w:sz="0" w:space="0" w:color="auto"/>
        <w:right w:val="none" w:sz="0" w:space="0" w:color="auto"/>
      </w:divBdr>
    </w:div>
    <w:div w:id="2007047584">
      <w:marLeft w:val="0"/>
      <w:marRight w:val="0"/>
      <w:marTop w:val="0"/>
      <w:marBottom w:val="0"/>
      <w:divBdr>
        <w:top w:val="none" w:sz="0" w:space="0" w:color="auto"/>
        <w:left w:val="none" w:sz="0" w:space="0" w:color="auto"/>
        <w:bottom w:val="none" w:sz="0" w:space="0" w:color="auto"/>
        <w:right w:val="none" w:sz="0" w:space="0" w:color="auto"/>
      </w:divBdr>
    </w:div>
    <w:div w:id="2007047585">
      <w:marLeft w:val="0"/>
      <w:marRight w:val="0"/>
      <w:marTop w:val="0"/>
      <w:marBottom w:val="0"/>
      <w:divBdr>
        <w:top w:val="none" w:sz="0" w:space="0" w:color="auto"/>
        <w:left w:val="none" w:sz="0" w:space="0" w:color="auto"/>
        <w:bottom w:val="none" w:sz="0" w:space="0" w:color="auto"/>
        <w:right w:val="none" w:sz="0" w:space="0" w:color="auto"/>
      </w:divBdr>
      <w:divsChild>
        <w:div w:id="2007047587">
          <w:marLeft w:val="0"/>
          <w:marRight w:val="0"/>
          <w:marTop w:val="0"/>
          <w:marBottom w:val="0"/>
          <w:divBdr>
            <w:top w:val="single" w:sz="6" w:space="0" w:color="003366"/>
            <w:left w:val="single" w:sz="6" w:space="0" w:color="003366"/>
            <w:bottom w:val="single" w:sz="6" w:space="4" w:color="003366"/>
            <w:right w:val="single" w:sz="6" w:space="0" w:color="003366"/>
          </w:divBdr>
          <w:divsChild>
            <w:div w:id="2007047589">
              <w:marLeft w:val="75"/>
              <w:marRight w:val="75"/>
              <w:marTop w:val="75"/>
              <w:marBottom w:val="75"/>
              <w:divBdr>
                <w:top w:val="none" w:sz="0" w:space="0" w:color="auto"/>
                <w:left w:val="none" w:sz="0" w:space="0" w:color="auto"/>
                <w:bottom w:val="none" w:sz="0" w:space="0" w:color="auto"/>
                <w:right w:val="none" w:sz="0" w:space="0" w:color="auto"/>
              </w:divBdr>
              <w:divsChild>
                <w:div w:id="2007047590">
                  <w:marLeft w:val="0"/>
                  <w:marRight w:val="0"/>
                  <w:marTop w:val="0"/>
                  <w:marBottom w:val="0"/>
                  <w:divBdr>
                    <w:top w:val="single" w:sz="6" w:space="4" w:color="336699"/>
                    <w:left w:val="single" w:sz="6" w:space="4" w:color="336699"/>
                    <w:bottom w:val="single" w:sz="6" w:space="8" w:color="336699"/>
                    <w:right w:val="single" w:sz="6" w:space="4" w:color="336699"/>
                  </w:divBdr>
                </w:div>
              </w:divsChild>
            </w:div>
          </w:divsChild>
        </w:div>
      </w:divsChild>
    </w:div>
    <w:div w:id="2007047586">
      <w:marLeft w:val="0"/>
      <w:marRight w:val="0"/>
      <w:marTop w:val="0"/>
      <w:marBottom w:val="0"/>
      <w:divBdr>
        <w:top w:val="none" w:sz="0" w:space="0" w:color="auto"/>
        <w:left w:val="none" w:sz="0" w:space="0" w:color="auto"/>
        <w:bottom w:val="none" w:sz="0" w:space="0" w:color="auto"/>
        <w:right w:val="none" w:sz="0" w:space="0" w:color="auto"/>
      </w:divBdr>
    </w:div>
    <w:div w:id="2007047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stance.Averett@state.nm.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 Mexico General Assistance Program</vt:lpstr>
    </vt:vector>
  </TitlesOfParts>
  <Company>HSD</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General Assistance Program</dc:title>
  <dc:creator>Ted Roth</dc:creator>
  <cp:lastModifiedBy>Jonni Lu Pool</cp:lastModifiedBy>
  <cp:revision>4</cp:revision>
  <cp:lastPrinted>2013-12-26T22:46:00Z</cp:lastPrinted>
  <dcterms:created xsi:type="dcterms:W3CDTF">2014-01-14T22:11:00Z</dcterms:created>
  <dcterms:modified xsi:type="dcterms:W3CDTF">2014-01-14T22:24:00Z</dcterms:modified>
</cp:coreProperties>
</file>