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09" w:rsidRDefault="00AB724D" w:rsidP="00920430">
      <w:pPr>
        <w:jc w:val="center"/>
        <w:rPr>
          <w:b/>
          <w:sz w:val="32"/>
          <w:szCs w:val="32"/>
        </w:rPr>
      </w:pPr>
      <w:r w:rsidRPr="004E5CE0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C058C1" wp14:editId="1A19A8D3">
            <wp:simplePos x="0" y="0"/>
            <wp:positionH relativeFrom="column">
              <wp:posOffset>-223521</wp:posOffset>
            </wp:positionH>
            <wp:positionV relativeFrom="paragraph">
              <wp:posOffset>-447040</wp:posOffset>
            </wp:positionV>
            <wp:extent cx="1949937" cy="812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28" cy="81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DB" w:rsidRPr="00920430">
        <w:rPr>
          <w:b/>
          <w:sz w:val="32"/>
          <w:szCs w:val="32"/>
        </w:rPr>
        <w:t xml:space="preserve"> </w:t>
      </w:r>
    </w:p>
    <w:p w:rsidR="00956845" w:rsidRDefault="00956845" w:rsidP="00920430">
      <w:pPr>
        <w:jc w:val="center"/>
        <w:rPr>
          <w:b/>
          <w:sz w:val="40"/>
          <w:szCs w:val="40"/>
        </w:rPr>
      </w:pPr>
    </w:p>
    <w:p w:rsidR="00956845" w:rsidRDefault="00E138DB" w:rsidP="00920430">
      <w:pPr>
        <w:jc w:val="center"/>
        <w:rPr>
          <w:b/>
          <w:sz w:val="40"/>
          <w:szCs w:val="40"/>
        </w:rPr>
      </w:pPr>
      <w:r w:rsidRPr="00377DB2">
        <w:rPr>
          <w:b/>
          <w:sz w:val="40"/>
          <w:szCs w:val="40"/>
        </w:rPr>
        <w:t>Su</w:t>
      </w:r>
      <w:r w:rsidR="00956845">
        <w:rPr>
          <w:b/>
          <w:sz w:val="40"/>
          <w:szCs w:val="40"/>
        </w:rPr>
        <w:t>pplemental Nutrition Assistance</w:t>
      </w:r>
      <w:bookmarkStart w:id="0" w:name="_GoBack"/>
      <w:bookmarkEnd w:id="0"/>
    </w:p>
    <w:p w:rsidR="00956845" w:rsidRDefault="00E138DB" w:rsidP="00B00054">
      <w:pPr>
        <w:jc w:val="center"/>
        <w:rPr>
          <w:b/>
          <w:sz w:val="40"/>
          <w:szCs w:val="40"/>
        </w:rPr>
      </w:pPr>
      <w:r w:rsidRPr="00377DB2">
        <w:rPr>
          <w:b/>
          <w:sz w:val="40"/>
          <w:szCs w:val="40"/>
        </w:rPr>
        <w:t xml:space="preserve">Program Education (SNAP-Ed) </w:t>
      </w:r>
    </w:p>
    <w:p w:rsidR="00E138DB" w:rsidRPr="00377DB2" w:rsidRDefault="00E138DB" w:rsidP="00B00054">
      <w:pPr>
        <w:jc w:val="center"/>
        <w:rPr>
          <w:b/>
          <w:sz w:val="40"/>
          <w:szCs w:val="40"/>
        </w:rPr>
      </w:pPr>
      <w:r w:rsidRPr="00377DB2">
        <w:rPr>
          <w:b/>
          <w:noProof/>
          <w:sz w:val="40"/>
          <w:szCs w:val="40"/>
        </w:rPr>
        <w:t>Fact</w:t>
      </w:r>
      <w:r w:rsidRPr="00377DB2">
        <w:rPr>
          <w:b/>
          <w:sz w:val="40"/>
          <w:szCs w:val="40"/>
        </w:rPr>
        <w:t xml:space="preserve"> Sheet</w:t>
      </w:r>
    </w:p>
    <w:p w:rsidR="00E138DB" w:rsidRDefault="00E138DB">
      <w:pPr>
        <w:rPr>
          <w:b/>
        </w:rPr>
      </w:pPr>
    </w:p>
    <w:p w:rsidR="00E138DB" w:rsidRPr="005C3859" w:rsidRDefault="00E138DB" w:rsidP="00377DB2">
      <w:pPr>
        <w:numPr>
          <w:ilvl w:val="0"/>
          <w:numId w:val="1"/>
        </w:numPr>
        <w:shd w:val="clear" w:color="auto" w:fill="FFFFFF"/>
        <w:ind w:right="144"/>
        <w:jc w:val="both"/>
        <w:rPr>
          <w:b/>
          <w:color w:val="333333"/>
        </w:rPr>
      </w:pPr>
      <w:r w:rsidRPr="00B3105B">
        <w:rPr>
          <w:b/>
          <w:color w:val="333333"/>
        </w:rPr>
        <w:t xml:space="preserve"> </w:t>
      </w:r>
      <w:r w:rsidRPr="005C3859">
        <w:rPr>
          <w:b/>
          <w:color w:val="333333"/>
        </w:rPr>
        <w:t>What is the SNAP-Ed program?</w:t>
      </w:r>
    </w:p>
    <w:p w:rsidR="00377DB2" w:rsidRDefault="00377DB2" w:rsidP="00377DB2">
      <w:pPr>
        <w:ind w:left="450"/>
        <w:jc w:val="both"/>
        <w:rPr>
          <w:sz w:val="22"/>
          <w:szCs w:val="22"/>
        </w:rPr>
      </w:pPr>
    </w:p>
    <w:p w:rsidR="00E138DB" w:rsidRPr="00066028" w:rsidRDefault="00E138DB" w:rsidP="00377DB2">
      <w:pPr>
        <w:ind w:left="450"/>
        <w:jc w:val="both"/>
        <w:rPr>
          <w:sz w:val="22"/>
          <w:szCs w:val="22"/>
        </w:rPr>
      </w:pPr>
      <w:r w:rsidRPr="00066028">
        <w:rPr>
          <w:sz w:val="22"/>
          <w:szCs w:val="22"/>
        </w:rPr>
        <w:t xml:space="preserve">SNAP-Ed is </w:t>
      </w:r>
      <w:r w:rsidR="00C90DE5" w:rsidRPr="00066028">
        <w:rPr>
          <w:sz w:val="22"/>
          <w:szCs w:val="22"/>
        </w:rPr>
        <w:t xml:space="preserve">a </w:t>
      </w:r>
      <w:r w:rsidRPr="00066028">
        <w:rPr>
          <w:sz w:val="22"/>
          <w:szCs w:val="22"/>
        </w:rPr>
        <w:t>nutrition education</w:t>
      </w:r>
      <w:r w:rsidR="00C90DE5" w:rsidRPr="00066028">
        <w:rPr>
          <w:sz w:val="22"/>
          <w:szCs w:val="22"/>
        </w:rPr>
        <w:t xml:space="preserve"> grant</w:t>
      </w:r>
      <w:r w:rsidR="00377DB2">
        <w:rPr>
          <w:sz w:val="22"/>
          <w:szCs w:val="22"/>
        </w:rPr>
        <w:t>,</w:t>
      </w:r>
      <w:r w:rsidR="007A7F97" w:rsidRPr="00066028">
        <w:rPr>
          <w:sz w:val="22"/>
          <w:szCs w:val="22"/>
        </w:rPr>
        <w:t xml:space="preserve"> funded and guided by USDA’s Food and Nutrition Services (</w:t>
      </w:r>
      <w:proofErr w:type="spellStart"/>
      <w:r w:rsidR="007A7F97" w:rsidRPr="00066028">
        <w:rPr>
          <w:sz w:val="22"/>
          <w:szCs w:val="22"/>
        </w:rPr>
        <w:t>FNS</w:t>
      </w:r>
      <w:proofErr w:type="spellEnd"/>
      <w:r w:rsidR="007A7F97" w:rsidRPr="00066028">
        <w:rPr>
          <w:sz w:val="22"/>
          <w:szCs w:val="22"/>
        </w:rPr>
        <w:t>)</w:t>
      </w:r>
      <w:r w:rsidR="00377DB2">
        <w:rPr>
          <w:sz w:val="22"/>
          <w:szCs w:val="22"/>
        </w:rPr>
        <w:t>,</w:t>
      </w:r>
      <w:r w:rsidR="007A7F97" w:rsidRPr="00066028">
        <w:rPr>
          <w:sz w:val="22"/>
          <w:szCs w:val="22"/>
        </w:rPr>
        <w:t xml:space="preserve"> </w:t>
      </w:r>
      <w:r w:rsidR="00377DB2">
        <w:rPr>
          <w:sz w:val="22"/>
          <w:szCs w:val="22"/>
        </w:rPr>
        <w:t>which</w:t>
      </w:r>
      <w:r w:rsidR="007A7F97" w:rsidRPr="00066028">
        <w:rPr>
          <w:sz w:val="22"/>
          <w:szCs w:val="22"/>
        </w:rPr>
        <w:t xml:space="preserve"> provides support </w:t>
      </w:r>
      <w:r w:rsidRPr="00066028">
        <w:rPr>
          <w:sz w:val="22"/>
          <w:szCs w:val="22"/>
        </w:rPr>
        <w:t>to people who are receiving</w:t>
      </w:r>
      <w:r w:rsidR="006D01B4" w:rsidRPr="00066028">
        <w:rPr>
          <w:sz w:val="22"/>
          <w:szCs w:val="22"/>
        </w:rPr>
        <w:t>,</w:t>
      </w:r>
      <w:r w:rsidRPr="00066028">
        <w:rPr>
          <w:sz w:val="22"/>
          <w:szCs w:val="22"/>
        </w:rPr>
        <w:t xml:space="preserve"> or are eligible to receive</w:t>
      </w:r>
      <w:r w:rsidR="006D01B4" w:rsidRPr="00066028">
        <w:rPr>
          <w:sz w:val="22"/>
          <w:szCs w:val="22"/>
        </w:rPr>
        <w:t>,</w:t>
      </w:r>
      <w:r w:rsidRPr="00066028">
        <w:rPr>
          <w:sz w:val="22"/>
          <w:szCs w:val="22"/>
        </w:rPr>
        <w:t xml:space="preserve"> benefits from the Supplemental Nutrition Assistance Program (SNAP), formerly known as the Food</w:t>
      </w:r>
      <w:r w:rsidR="007A7F97" w:rsidRPr="00066028">
        <w:rPr>
          <w:sz w:val="22"/>
          <w:szCs w:val="22"/>
        </w:rPr>
        <w:t xml:space="preserve"> Stamps Program. USDA/</w:t>
      </w:r>
      <w:proofErr w:type="spellStart"/>
      <w:r w:rsidR="007A7F97" w:rsidRPr="00066028">
        <w:rPr>
          <w:sz w:val="22"/>
          <w:szCs w:val="22"/>
        </w:rPr>
        <w:t>FNS</w:t>
      </w:r>
      <w:proofErr w:type="spellEnd"/>
      <w:r w:rsidR="00B27D62" w:rsidRPr="00066028">
        <w:rPr>
          <w:sz w:val="22"/>
          <w:szCs w:val="22"/>
        </w:rPr>
        <w:t xml:space="preserve"> designates</w:t>
      </w:r>
      <w:r w:rsidRPr="00066028">
        <w:rPr>
          <w:sz w:val="22"/>
          <w:szCs w:val="22"/>
        </w:rPr>
        <w:t xml:space="preserve"> the New Mexico Human Services Depa</w:t>
      </w:r>
      <w:r w:rsidR="00661AAD" w:rsidRPr="00066028">
        <w:rPr>
          <w:sz w:val="22"/>
          <w:szCs w:val="22"/>
        </w:rPr>
        <w:t>rtment to administer and coordinate</w:t>
      </w:r>
      <w:r w:rsidRPr="00066028">
        <w:rPr>
          <w:sz w:val="22"/>
          <w:szCs w:val="22"/>
        </w:rPr>
        <w:t xml:space="preserve"> SNAP-Ed </w:t>
      </w:r>
      <w:r w:rsidR="00B27D62" w:rsidRPr="00066028">
        <w:rPr>
          <w:sz w:val="22"/>
          <w:szCs w:val="22"/>
        </w:rPr>
        <w:t xml:space="preserve">in New Mexico. In 2010, New Mexico </w:t>
      </w:r>
      <w:r w:rsidRPr="00066028">
        <w:rPr>
          <w:sz w:val="22"/>
          <w:szCs w:val="22"/>
        </w:rPr>
        <w:t xml:space="preserve">received the “Excellence </w:t>
      </w:r>
      <w:r w:rsidR="00B27D62" w:rsidRPr="00066028">
        <w:rPr>
          <w:sz w:val="22"/>
          <w:szCs w:val="22"/>
        </w:rPr>
        <w:t>in SNAP Education award”</w:t>
      </w:r>
      <w:r w:rsidRPr="00066028">
        <w:rPr>
          <w:sz w:val="22"/>
          <w:szCs w:val="22"/>
        </w:rPr>
        <w:t xml:space="preserve"> for the Southwest Region. </w:t>
      </w:r>
    </w:p>
    <w:p w:rsidR="00E138DB" w:rsidRPr="00066028" w:rsidRDefault="00E138DB" w:rsidP="00377DB2">
      <w:pPr>
        <w:ind w:left="450"/>
        <w:jc w:val="both"/>
        <w:rPr>
          <w:sz w:val="22"/>
          <w:szCs w:val="22"/>
        </w:rPr>
      </w:pPr>
    </w:p>
    <w:p w:rsidR="00E138DB" w:rsidRDefault="00E138DB" w:rsidP="00377DB2">
      <w:pPr>
        <w:ind w:left="450"/>
        <w:jc w:val="both"/>
        <w:rPr>
          <w:sz w:val="22"/>
          <w:szCs w:val="22"/>
        </w:rPr>
      </w:pPr>
      <w:r w:rsidRPr="00066028">
        <w:rPr>
          <w:sz w:val="22"/>
          <w:szCs w:val="22"/>
        </w:rPr>
        <w:t>The focus of SNAP-Ed is:</w:t>
      </w:r>
    </w:p>
    <w:p w:rsidR="008B0146" w:rsidRPr="008B0146" w:rsidRDefault="00B27D62" w:rsidP="00377DB2">
      <w:pPr>
        <w:numPr>
          <w:ilvl w:val="1"/>
          <w:numId w:val="4"/>
        </w:numPr>
        <w:tabs>
          <w:tab w:val="clear" w:pos="1440"/>
          <w:tab w:val="num" w:pos="900"/>
        </w:tabs>
        <w:ind w:left="90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>Health promotion to increase</w:t>
      </w:r>
      <w:r w:rsidR="007F1AA7" w:rsidRPr="008B0146">
        <w:rPr>
          <w:sz w:val="22"/>
          <w:szCs w:val="22"/>
        </w:rPr>
        <w:t xml:space="preserve"> the likelihood that person</w:t>
      </w:r>
      <w:r w:rsidR="003827F0" w:rsidRPr="008B0146">
        <w:rPr>
          <w:sz w:val="22"/>
          <w:szCs w:val="22"/>
        </w:rPr>
        <w:t>s</w:t>
      </w:r>
      <w:r w:rsidR="007F1AA7" w:rsidRPr="008B0146">
        <w:rPr>
          <w:sz w:val="22"/>
          <w:szCs w:val="22"/>
        </w:rPr>
        <w:t xml:space="preserve"> eligible for SNAP will make healthy food choices with a limited budget and choose physically active lifestyles. </w:t>
      </w:r>
    </w:p>
    <w:p w:rsidR="008B0146" w:rsidRPr="008B0146" w:rsidRDefault="00E138DB" w:rsidP="00377DB2">
      <w:pPr>
        <w:numPr>
          <w:ilvl w:val="1"/>
          <w:numId w:val="4"/>
        </w:numPr>
        <w:tabs>
          <w:tab w:val="clear" w:pos="1440"/>
          <w:tab w:val="num" w:pos="900"/>
        </w:tabs>
        <w:ind w:left="900"/>
        <w:jc w:val="both"/>
        <w:rPr>
          <w:sz w:val="22"/>
          <w:szCs w:val="22"/>
        </w:rPr>
      </w:pPr>
      <w:proofErr w:type="gramStart"/>
      <w:r w:rsidRPr="008B0146">
        <w:rPr>
          <w:sz w:val="22"/>
          <w:szCs w:val="22"/>
        </w:rPr>
        <w:t>Primar</w:t>
      </w:r>
      <w:r w:rsidR="007F1AA7" w:rsidRPr="008B0146">
        <w:rPr>
          <w:sz w:val="22"/>
          <w:szCs w:val="22"/>
        </w:rPr>
        <w:t>y p</w:t>
      </w:r>
      <w:r w:rsidR="00C90DE5" w:rsidRPr="008B0146">
        <w:rPr>
          <w:sz w:val="22"/>
          <w:szCs w:val="22"/>
        </w:rPr>
        <w:t xml:space="preserve">revention of diseases by </w:t>
      </w:r>
      <w:r w:rsidR="007F1AA7" w:rsidRPr="008B0146">
        <w:rPr>
          <w:sz w:val="22"/>
          <w:szCs w:val="22"/>
        </w:rPr>
        <w:t>assist</w:t>
      </w:r>
      <w:r w:rsidR="00C90DE5" w:rsidRPr="008B0146">
        <w:rPr>
          <w:sz w:val="22"/>
          <w:szCs w:val="22"/>
        </w:rPr>
        <w:t>ing</w:t>
      </w:r>
      <w:r w:rsidRPr="008B0146">
        <w:rPr>
          <w:sz w:val="22"/>
          <w:szCs w:val="22"/>
        </w:rPr>
        <w:t xml:space="preserve"> </w:t>
      </w:r>
      <w:r w:rsidR="003827F0" w:rsidRPr="008B0146">
        <w:rPr>
          <w:sz w:val="22"/>
          <w:szCs w:val="22"/>
        </w:rPr>
        <w:t xml:space="preserve">persons eligible for </w:t>
      </w:r>
      <w:r w:rsidRPr="008B0146">
        <w:rPr>
          <w:sz w:val="22"/>
          <w:szCs w:val="22"/>
        </w:rPr>
        <w:t xml:space="preserve">SNAP </w:t>
      </w:r>
      <w:r w:rsidR="003827F0" w:rsidRPr="008B0146">
        <w:rPr>
          <w:sz w:val="22"/>
          <w:szCs w:val="22"/>
        </w:rPr>
        <w:t xml:space="preserve">with </w:t>
      </w:r>
      <w:r w:rsidRPr="008B0146">
        <w:rPr>
          <w:sz w:val="22"/>
          <w:szCs w:val="22"/>
        </w:rPr>
        <w:t xml:space="preserve">risk factors for diet-related chronic disease </w:t>
      </w:r>
      <w:r w:rsidR="00AB724D">
        <w:rPr>
          <w:sz w:val="22"/>
          <w:szCs w:val="22"/>
        </w:rPr>
        <w:t xml:space="preserve">to </w:t>
      </w:r>
      <w:r w:rsidRPr="008B0146">
        <w:rPr>
          <w:sz w:val="22"/>
          <w:szCs w:val="22"/>
        </w:rPr>
        <w:t xml:space="preserve">prevent or postpone the </w:t>
      </w:r>
      <w:r w:rsidR="00C90DE5" w:rsidRPr="008B0146">
        <w:rPr>
          <w:sz w:val="22"/>
          <w:szCs w:val="22"/>
        </w:rPr>
        <w:t>onset of disease by supporting</w:t>
      </w:r>
      <w:r w:rsidRPr="008B0146">
        <w:rPr>
          <w:sz w:val="22"/>
          <w:szCs w:val="22"/>
        </w:rPr>
        <w:t xml:space="preserve"> more physically active lifestyles and healthier eating habits.</w:t>
      </w:r>
      <w:proofErr w:type="gramEnd"/>
    </w:p>
    <w:p w:rsidR="00E138DB" w:rsidRPr="008B0146" w:rsidRDefault="00E64DD9" w:rsidP="00377DB2">
      <w:pPr>
        <w:numPr>
          <w:ilvl w:val="1"/>
          <w:numId w:val="4"/>
        </w:numPr>
        <w:tabs>
          <w:tab w:val="clear" w:pos="1440"/>
          <w:tab w:val="num" w:pos="900"/>
        </w:tabs>
        <w:ind w:left="900"/>
        <w:jc w:val="both"/>
        <w:rPr>
          <w:sz w:val="22"/>
          <w:szCs w:val="22"/>
        </w:rPr>
      </w:pPr>
      <w:proofErr w:type="gramStart"/>
      <w:r w:rsidRPr="008B0146">
        <w:rPr>
          <w:sz w:val="22"/>
          <w:szCs w:val="22"/>
        </w:rPr>
        <w:t>To encourage</w:t>
      </w:r>
      <w:r w:rsidR="007A7F97" w:rsidRPr="008B0146">
        <w:rPr>
          <w:sz w:val="22"/>
          <w:szCs w:val="22"/>
        </w:rPr>
        <w:t xml:space="preserve"> </w:t>
      </w:r>
      <w:r w:rsidR="006D01B4" w:rsidRPr="008B0146">
        <w:rPr>
          <w:sz w:val="22"/>
          <w:szCs w:val="22"/>
        </w:rPr>
        <w:t xml:space="preserve">healthy </w:t>
      </w:r>
      <w:r w:rsidR="003827F0" w:rsidRPr="008B0146">
        <w:rPr>
          <w:sz w:val="22"/>
          <w:szCs w:val="22"/>
        </w:rPr>
        <w:t>lifestyles</w:t>
      </w:r>
      <w:r w:rsidR="006D01B4" w:rsidRPr="008B0146">
        <w:rPr>
          <w:sz w:val="22"/>
          <w:szCs w:val="22"/>
        </w:rPr>
        <w:t xml:space="preserve"> consistent</w:t>
      </w:r>
      <w:r w:rsidR="004A74BF" w:rsidRPr="008B0146">
        <w:rPr>
          <w:sz w:val="22"/>
          <w:szCs w:val="22"/>
        </w:rPr>
        <w:t xml:space="preserve"> wi</w:t>
      </w:r>
      <w:r w:rsidR="00B27D62" w:rsidRPr="008B0146">
        <w:rPr>
          <w:sz w:val="22"/>
          <w:szCs w:val="22"/>
        </w:rPr>
        <w:t>th</w:t>
      </w:r>
      <w:r w:rsidR="006D01B4" w:rsidRPr="008B0146">
        <w:rPr>
          <w:sz w:val="22"/>
          <w:szCs w:val="22"/>
        </w:rPr>
        <w:t xml:space="preserve"> the current</w:t>
      </w:r>
      <w:r w:rsidR="004A74BF" w:rsidRPr="008B0146">
        <w:rPr>
          <w:sz w:val="22"/>
          <w:szCs w:val="22"/>
        </w:rPr>
        <w:t xml:space="preserve"> Dietary Guidelines for Americans, MyPyramid and </w:t>
      </w:r>
      <w:proofErr w:type="spellStart"/>
      <w:r w:rsidR="004A74BF" w:rsidRPr="008B0146">
        <w:rPr>
          <w:sz w:val="22"/>
          <w:szCs w:val="22"/>
        </w:rPr>
        <w:t>MyPlate</w:t>
      </w:r>
      <w:proofErr w:type="spellEnd"/>
      <w:r w:rsidR="004A74BF" w:rsidRPr="008B0146">
        <w:rPr>
          <w:sz w:val="22"/>
          <w:szCs w:val="22"/>
        </w:rPr>
        <w:t>.</w:t>
      </w:r>
      <w:proofErr w:type="gramEnd"/>
    </w:p>
    <w:p w:rsidR="00E138DB" w:rsidRPr="005C3859" w:rsidRDefault="00E138DB" w:rsidP="00377DB2">
      <w:pPr>
        <w:ind w:left="540"/>
        <w:rPr>
          <w:rStyle w:val="Strong"/>
          <w:b w:val="0"/>
          <w:bCs w:val="0"/>
        </w:rPr>
      </w:pPr>
    </w:p>
    <w:p w:rsidR="00276F4D" w:rsidRPr="00AB724D" w:rsidRDefault="00E138DB" w:rsidP="00377DB2">
      <w:pPr>
        <w:pStyle w:val="ListParagraph"/>
        <w:numPr>
          <w:ilvl w:val="0"/>
          <w:numId w:val="4"/>
        </w:numPr>
        <w:shd w:val="clear" w:color="auto" w:fill="FFFFFF"/>
        <w:ind w:right="144"/>
        <w:jc w:val="both"/>
        <w:rPr>
          <w:b/>
        </w:rPr>
      </w:pPr>
      <w:r w:rsidRPr="00AB724D">
        <w:rPr>
          <w:b/>
        </w:rPr>
        <w:t>Funding</w:t>
      </w:r>
    </w:p>
    <w:p w:rsidR="00066028" w:rsidRDefault="00066028" w:rsidP="00377DB2">
      <w:pPr>
        <w:ind w:left="360"/>
        <w:jc w:val="both"/>
        <w:rPr>
          <w:sz w:val="22"/>
          <w:szCs w:val="22"/>
        </w:rPr>
      </w:pPr>
    </w:p>
    <w:p w:rsidR="00661AAD" w:rsidRPr="00956845" w:rsidRDefault="002E40CB" w:rsidP="00377DB2">
      <w:pPr>
        <w:pStyle w:val="ListParagraph"/>
        <w:ind w:left="360"/>
        <w:rPr>
          <w:sz w:val="22"/>
          <w:szCs w:val="22"/>
        </w:rPr>
      </w:pPr>
      <w:r w:rsidRPr="00956845">
        <w:rPr>
          <w:sz w:val="22"/>
          <w:szCs w:val="22"/>
        </w:rPr>
        <w:t xml:space="preserve">Since October 2010, SNAP-Ed has been a grant-funded program that receives </w:t>
      </w:r>
      <w:r w:rsidR="00956845">
        <w:rPr>
          <w:sz w:val="22"/>
          <w:szCs w:val="22"/>
        </w:rPr>
        <w:t>100% f</w:t>
      </w:r>
      <w:r w:rsidRPr="00956845">
        <w:rPr>
          <w:sz w:val="22"/>
          <w:szCs w:val="22"/>
        </w:rPr>
        <w:t xml:space="preserve">ederal </w:t>
      </w:r>
      <w:r w:rsidR="00956845">
        <w:rPr>
          <w:sz w:val="22"/>
          <w:szCs w:val="22"/>
        </w:rPr>
        <w:t xml:space="preserve">funds with no </w:t>
      </w:r>
      <w:r w:rsidR="00B53F16">
        <w:rPr>
          <w:sz w:val="22"/>
          <w:szCs w:val="22"/>
        </w:rPr>
        <w:t>s</w:t>
      </w:r>
      <w:r w:rsidRPr="00956845">
        <w:rPr>
          <w:sz w:val="22"/>
          <w:szCs w:val="22"/>
        </w:rPr>
        <w:t xml:space="preserve">tate contribution or match required. In </w:t>
      </w:r>
      <w:proofErr w:type="spellStart"/>
      <w:r w:rsidRPr="00956845">
        <w:rPr>
          <w:sz w:val="22"/>
          <w:szCs w:val="22"/>
        </w:rPr>
        <w:t>F</w:t>
      </w:r>
      <w:r w:rsidR="00377DB2" w:rsidRPr="00956845">
        <w:rPr>
          <w:sz w:val="22"/>
          <w:szCs w:val="22"/>
        </w:rPr>
        <w:t>F</w:t>
      </w:r>
      <w:r w:rsidR="006776C3" w:rsidRPr="00956845">
        <w:rPr>
          <w:sz w:val="22"/>
          <w:szCs w:val="22"/>
        </w:rPr>
        <w:t>Y13</w:t>
      </w:r>
      <w:proofErr w:type="spellEnd"/>
      <w:r w:rsidR="006776C3" w:rsidRPr="00956845">
        <w:rPr>
          <w:sz w:val="22"/>
          <w:szCs w:val="22"/>
        </w:rPr>
        <w:t xml:space="preserve"> funding was reduced approximately 28% </w:t>
      </w:r>
      <w:proofErr w:type="gramStart"/>
      <w:r w:rsidR="006776C3" w:rsidRPr="00956845">
        <w:rPr>
          <w:sz w:val="22"/>
          <w:szCs w:val="22"/>
        </w:rPr>
        <w:t>as a result</w:t>
      </w:r>
      <w:proofErr w:type="gramEnd"/>
      <w:r w:rsidR="006776C3" w:rsidRPr="00956845">
        <w:rPr>
          <w:sz w:val="22"/>
          <w:szCs w:val="22"/>
        </w:rPr>
        <w:t xml:space="preserve"> of the American Taxpayer Relief Act of 2013. In </w:t>
      </w:r>
      <w:proofErr w:type="spellStart"/>
      <w:r w:rsidR="006776C3" w:rsidRPr="00956845">
        <w:rPr>
          <w:sz w:val="22"/>
          <w:szCs w:val="22"/>
        </w:rPr>
        <w:t>FFY</w:t>
      </w:r>
      <w:proofErr w:type="spellEnd"/>
      <w:r w:rsidR="006776C3" w:rsidRPr="00956845">
        <w:rPr>
          <w:sz w:val="22"/>
          <w:szCs w:val="22"/>
        </w:rPr>
        <w:t xml:space="preserve"> 14, </w:t>
      </w:r>
      <w:r w:rsidR="00111347" w:rsidRPr="00956845">
        <w:rPr>
          <w:sz w:val="22"/>
          <w:szCs w:val="22"/>
        </w:rPr>
        <w:t xml:space="preserve">full </w:t>
      </w:r>
      <w:r w:rsidR="006776C3" w:rsidRPr="00956845">
        <w:rPr>
          <w:sz w:val="22"/>
          <w:szCs w:val="22"/>
        </w:rPr>
        <w:t xml:space="preserve">funding was </w:t>
      </w:r>
      <w:r w:rsidR="00111347" w:rsidRPr="00956845">
        <w:rPr>
          <w:sz w:val="22"/>
          <w:szCs w:val="22"/>
        </w:rPr>
        <w:t xml:space="preserve">restored </w:t>
      </w:r>
      <w:r w:rsidR="006776C3" w:rsidRPr="00956845">
        <w:rPr>
          <w:sz w:val="22"/>
          <w:szCs w:val="22"/>
        </w:rPr>
        <w:t xml:space="preserve">but </w:t>
      </w:r>
      <w:r w:rsidR="00111347" w:rsidRPr="00956845">
        <w:rPr>
          <w:sz w:val="22"/>
          <w:szCs w:val="22"/>
        </w:rPr>
        <w:t>ultimately will be</w:t>
      </w:r>
      <w:r w:rsidR="006776C3" w:rsidRPr="00956845">
        <w:rPr>
          <w:sz w:val="22"/>
          <w:szCs w:val="22"/>
        </w:rPr>
        <w:t xml:space="preserve"> </w:t>
      </w:r>
      <w:r w:rsidR="00111347" w:rsidRPr="00956845">
        <w:rPr>
          <w:sz w:val="22"/>
          <w:szCs w:val="22"/>
        </w:rPr>
        <w:t xml:space="preserve">dependent </w:t>
      </w:r>
      <w:r w:rsidR="006776C3" w:rsidRPr="00956845">
        <w:rPr>
          <w:sz w:val="22"/>
          <w:szCs w:val="22"/>
        </w:rPr>
        <w:t>on the</w:t>
      </w:r>
      <w:r w:rsidR="00C61278" w:rsidRPr="00956845">
        <w:rPr>
          <w:sz w:val="22"/>
          <w:szCs w:val="22"/>
        </w:rPr>
        <w:t xml:space="preserve"> </w:t>
      </w:r>
      <w:proofErr w:type="gramStart"/>
      <w:r w:rsidR="00C61278" w:rsidRPr="00956845">
        <w:rPr>
          <w:sz w:val="22"/>
          <w:szCs w:val="22"/>
        </w:rPr>
        <w:t>final</w:t>
      </w:r>
      <w:r w:rsidR="006776C3" w:rsidRPr="00956845">
        <w:rPr>
          <w:sz w:val="22"/>
          <w:szCs w:val="22"/>
        </w:rPr>
        <w:t xml:space="preserve"> outcome</w:t>
      </w:r>
      <w:proofErr w:type="gramEnd"/>
      <w:r w:rsidR="006776C3" w:rsidRPr="00956845">
        <w:rPr>
          <w:sz w:val="22"/>
          <w:szCs w:val="22"/>
        </w:rPr>
        <w:t xml:space="preserve"> of the Farm Bill. </w:t>
      </w:r>
    </w:p>
    <w:p w:rsidR="002E40CB" w:rsidRPr="002E40CB" w:rsidRDefault="002E40CB" w:rsidP="00066028">
      <w:pPr>
        <w:pStyle w:val="ListParagraph"/>
        <w:ind w:left="360"/>
      </w:pPr>
    </w:p>
    <w:tbl>
      <w:tblPr>
        <w:tblW w:w="829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266"/>
        <w:gridCol w:w="2386"/>
        <w:gridCol w:w="2386"/>
      </w:tblGrid>
      <w:tr w:rsidR="00E138DB" w:rsidRPr="005C3859" w:rsidTr="00066028">
        <w:trPr>
          <w:trHeight w:val="254"/>
        </w:trPr>
        <w:tc>
          <w:tcPr>
            <w:tcW w:w="1260" w:type="dxa"/>
            <w:shd w:val="clear" w:color="auto" w:fill="FBD4B4" w:themeFill="accent6" w:themeFillTint="66"/>
          </w:tcPr>
          <w:p w:rsidR="00E138DB" w:rsidRPr="00066028" w:rsidRDefault="005A46A9" w:rsidP="00066028">
            <w:pPr>
              <w:jc w:val="center"/>
              <w:rPr>
                <w:b/>
              </w:rPr>
            </w:pPr>
            <w:proofErr w:type="spellStart"/>
            <w:r w:rsidRPr="00066028">
              <w:rPr>
                <w:b/>
              </w:rPr>
              <w:t>F</w:t>
            </w:r>
            <w:r w:rsidR="00E138DB" w:rsidRPr="00066028">
              <w:rPr>
                <w:b/>
              </w:rPr>
              <w:t>FY</w:t>
            </w:r>
            <w:proofErr w:type="spellEnd"/>
          </w:p>
        </w:tc>
        <w:tc>
          <w:tcPr>
            <w:tcW w:w="2266" w:type="dxa"/>
            <w:shd w:val="clear" w:color="auto" w:fill="FBD4B4" w:themeFill="accent6" w:themeFillTint="66"/>
          </w:tcPr>
          <w:p w:rsidR="00E138DB" w:rsidRPr="00066028" w:rsidRDefault="00E138DB" w:rsidP="00066028">
            <w:pPr>
              <w:jc w:val="center"/>
              <w:rPr>
                <w:b/>
              </w:rPr>
            </w:pPr>
            <w:r w:rsidRPr="00066028">
              <w:rPr>
                <w:b/>
              </w:rPr>
              <w:t>Non-Federal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138DB" w:rsidRPr="00066028" w:rsidRDefault="00E138DB" w:rsidP="00066028">
            <w:pPr>
              <w:jc w:val="center"/>
              <w:rPr>
                <w:b/>
              </w:rPr>
            </w:pPr>
            <w:r w:rsidRPr="00066028">
              <w:rPr>
                <w:b/>
              </w:rPr>
              <w:t>Federal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138DB" w:rsidRPr="00066028" w:rsidRDefault="00E138DB" w:rsidP="00066028">
            <w:pPr>
              <w:jc w:val="center"/>
              <w:rPr>
                <w:b/>
              </w:rPr>
            </w:pPr>
            <w:r w:rsidRPr="00066028">
              <w:rPr>
                <w:b/>
              </w:rPr>
              <w:t>Total</w:t>
            </w:r>
          </w:p>
        </w:tc>
      </w:tr>
      <w:tr w:rsidR="00D6294A" w:rsidRPr="00066028" w:rsidTr="00352EF0">
        <w:trPr>
          <w:trHeight w:val="254"/>
        </w:trPr>
        <w:tc>
          <w:tcPr>
            <w:tcW w:w="1260" w:type="dxa"/>
          </w:tcPr>
          <w:p w:rsidR="00D6294A" w:rsidRDefault="00D6294A" w:rsidP="00203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266" w:type="dxa"/>
          </w:tcPr>
          <w:p w:rsidR="00D6294A" w:rsidRDefault="00D6294A" w:rsidP="0035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-0-</w:t>
            </w:r>
          </w:p>
        </w:tc>
        <w:tc>
          <w:tcPr>
            <w:tcW w:w="0" w:type="auto"/>
          </w:tcPr>
          <w:p w:rsidR="00D6294A" w:rsidRDefault="00D6294A" w:rsidP="0035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$3,428,171</w:t>
            </w:r>
          </w:p>
        </w:tc>
        <w:tc>
          <w:tcPr>
            <w:tcW w:w="0" w:type="auto"/>
          </w:tcPr>
          <w:p w:rsidR="00D6294A" w:rsidRDefault="00D6294A" w:rsidP="0035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$3,428,171</w:t>
            </w:r>
          </w:p>
        </w:tc>
      </w:tr>
      <w:tr w:rsidR="00F24939" w:rsidRPr="00066028" w:rsidTr="00352EF0">
        <w:trPr>
          <w:trHeight w:val="254"/>
        </w:trPr>
        <w:tc>
          <w:tcPr>
            <w:tcW w:w="1260" w:type="dxa"/>
          </w:tcPr>
          <w:p w:rsidR="00F24939" w:rsidRPr="00066028" w:rsidRDefault="00F24939" w:rsidP="00203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266" w:type="dxa"/>
          </w:tcPr>
          <w:p w:rsidR="00F24939" w:rsidRPr="00066028" w:rsidRDefault="00F24939" w:rsidP="0035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-0-</w:t>
            </w:r>
          </w:p>
        </w:tc>
        <w:tc>
          <w:tcPr>
            <w:tcW w:w="0" w:type="auto"/>
          </w:tcPr>
          <w:p w:rsidR="00F24939" w:rsidRPr="00066028" w:rsidRDefault="000173A2" w:rsidP="0035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D6294A">
              <w:rPr>
                <w:sz w:val="22"/>
                <w:szCs w:val="22"/>
              </w:rPr>
              <w:t>2,410,527</w:t>
            </w:r>
          </w:p>
        </w:tc>
        <w:tc>
          <w:tcPr>
            <w:tcW w:w="0" w:type="auto"/>
          </w:tcPr>
          <w:p w:rsidR="00F24939" w:rsidRPr="00066028" w:rsidRDefault="000173A2" w:rsidP="0035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17CEA">
              <w:rPr>
                <w:sz w:val="22"/>
                <w:szCs w:val="22"/>
              </w:rPr>
              <w:t>2,410,527</w:t>
            </w:r>
          </w:p>
        </w:tc>
      </w:tr>
      <w:tr w:rsidR="00647A50" w:rsidRPr="00066028" w:rsidTr="00352EF0">
        <w:trPr>
          <w:trHeight w:val="254"/>
        </w:trPr>
        <w:tc>
          <w:tcPr>
            <w:tcW w:w="1260" w:type="dxa"/>
          </w:tcPr>
          <w:p w:rsidR="00647A50" w:rsidRPr="00066028" w:rsidRDefault="00647A50" w:rsidP="0020317B">
            <w:r w:rsidRPr="00066028">
              <w:rPr>
                <w:sz w:val="22"/>
                <w:szCs w:val="22"/>
              </w:rPr>
              <w:t>2012</w:t>
            </w:r>
          </w:p>
        </w:tc>
        <w:tc>
          <w:tcPr>
            <w:tcW w:w="2266" w:type="dxa"/>
          </w:tcPr>
          <w:p w:rsidR="00647A50" w:rsidRPr="00066028" w:rsidRDefault="00647A50" w:rsidP="00352EF0">
            <w:pPr>
              <w:jc w:val="center"/>
            </w:pPr>
            <w:r w:rsidRPr="00066028">
              <w:rPr>
                <w:sz w:val="22"/>
                <w:szCs w:val="22"/>
              </w:rPr>
              <w:t>-0-</w:t>
            </w:r>
          </w:p>
        </w:tc>
        <w:tc>
          <w:tcPr>
            <w:tcW w:w="0" w:type="auto"/>
          </w:tcPr>
          <w:p w:rsidR="00647A50" w:rsidRPr="00066028" w:rsidRDefault="00647A50" w:rsidP="00352EF0">
            <w:pPr>
              <w:jc w:val="center"/>
            </w:pPr>
            <w:r w:rsidRPr="00066028">
              <w:rPr>
                <w:sz w:val="22"/>
                <w:szCs w:val="22"/>
              </w:rPr>
              <w:t>$3,281,700</w:t>
            </w:r>
          </w:p>
        </w:tc>
        <w:tc>
          <w:tcPr>
            <w:tcW w:w="0" w:type="auto"/>
          </w:tcPr>
          <w:p w:rsidR="00647A50" w:rsidRPr="00066028" w:rsidRDefault="00647A50" w:rsidP="00352EF0">
            <w:pPr>
              <w:jc w:val="center"/>
            </w:pPr>
            <w:r w:rsidRPr="00066028">
              <w:rPr>
                <w:sz w:val="22"/>
                <w:szCs w:val="22"/>
              </w:rPr>
              <w:t>$3,281,700</w:t>
            </w:r>
          </w:p>
        </w:tc>
      </w:tr>
      <w:tr w:rsidR="00E138DB" w:rsidRPr="00066028" w:rsidTr="00352EF0">
        <w:trPr>
          <w:trHeight w:val="254"/>
        </w:trPr>
        <w:tc>
          <w:tcPr>
            <w:tcW w:w="1260" w:type="dxa"/>
          </w:tcPr>
          <w:p w:rsidR="00E138DB" w:rsidRPr="00066028" w:rsidRDefault="00E138DB" w:rsidP="005C3859">
            <w:r w:rsidRPr="00066028">
              <w:rPr>
                <w:sz w:val="22"/>
                <w:szCs w:val="22"/>
              </w:rPr>
              <w:t>2011</w:t>
            </w:r>
          </w:p>
        </w:tc>
        <w:tc>
          <w:tcPr>
            <w:tcW w:w="2266" w:type="dxa"/>
          </w:tcPr>
          <w:p w:rsidR="00E138DB" w:rsidRPr="00066028" w:rsidRDefault="00647A50" w:rsidP="00F036FB">
            <w:pPr>
              <w:jc w:val="center"/>
            </w:pPr>
            <w:r w:rsidRPr="00066028">
              <w:rPr>
                <w:sz w:val="22"/>
                <w:szCs w:val="22"/>
              </w:rPr>
              <w:t>-0-</w:t>
            </w:r>
          </w:p>
        </w:tc>
        <w:tc>
          <w:tcPr>
            <w:tcW w:w="0" w:type="auto"/>
          </w:tcPr>
          <w:p w:rsidR="00E138DB" w:rsidRPr="00066028" w:rsidRDefault="00E138DB" w:rsidP="00F036FB">
            <w:pPr>
              <w:jc w:val="center"/>
            </w:pPr>
            <w:r w:rsidRPr="00066028">
              <w:rPr>
                <w:sz w:val="22"/>
                <w:szCs w:val="22"/>
              </w:rPr>
              <w:t>$3,</w:t>
            </w:r>
            <w:r w:rsidR="00647A50" w:rsidRPr="00066028">
              <w:rPr>
                <w:sz w:val="22"/>
                <w:szCs w:val="22"/>
              </w:rPr>
              <w:t>171,747</w:t>
            </w:r>
          </w:p>
        </w:tc>
        <w:tc>
          <w:tcPr>
            <w:tcW w:w="0" w:type="auto"/>
          </w:tcPr>
          <w:p w:rsidR="00E138DB" w:rsidRPr="00066028" w:rsidRDefault="00E138DB" w:rsidP="00352EF0">
            <w:pPr>
              <w:jc w:val="center"/>
            </w:pPr>
            <w:r w:rsidRPr="00066028">
              <w:rPr>
                <w:sz w:val="22"/>
                <w:szCs w:val="22"/>
              </w:rPr>
              <w:t>$</w:t>
            </w:r>
            <w:r w:rsidR="00647A50" w:rsidRPr="00066028">
              <w:rPr>
                <w:sz w:val="22"/>
                <w:szCs w:val="22"/>
              </w:rPr>
              <w:t>3,171,747</w:t>
            </w:r>
          </w:p>
        </w:tc>
      </w:tr>
      <w:tr w:rsidR="00E138DB" w:rsidRPr="00066028" w:rsidTr="00352EF0">
        <w:trPr>
          <w:trHeight w:val="254"/>
        </w:trPr>
        <w:tc>
          <w:tcPr>
            <w:tcW w:w="1260" w:type="dxa"/>
          </w:tcPr>
          <w:p w:rsidR="00E138DB" w:rsidRPr="00066028" w:rsidRDefault="00E138DB" w:rsidP="005C3859">
            <w:r w:rsidRPr="00066028">
              <w:rPr>
                <w:sz w:val="22"/>
                <w:szCs w:val="22"/>
              </w:rPr>
              <w:t xml:space="preserve">2010 </w:t>
            </w:r>
          </w:p>
        </w:tc>
        <w:tc>
          <w:tcPr>
            <w:tcW w:w="2266" w:type="dxa"/>
          </w:tcPr>
          <w:p w:rsidR="00E138DB" w:rsidRPr="00066028" w:rsidRDefault="00E138DB" w:rsidP="00F036FB">
            <w:pPr>
              <w:jc w:val="center"/>
            </w:pPr>
            <w:r w:rsidRPr="00066028">
              <w:rPr>
                <w:sz w:val="22"/>
                <w:szCs w:val="22"/>
              </w:rPr>
              <w:t>$4,057,969</w:t>
            </w:r>
          </w:p>
        </w:tc>
        <w:tc>
          <w:tcPr>
            <w:tcW w:w="0" w:type="auto"/>
          </w:tcPr>
          <w:p w:rsidR="00E138DB" w:rsidRPr="00066028" w:rsidRDefault="00E138DB" w:rsidP="00F036FB">
            <w:pPr>
              <w:jc w:val="center"/>
            </w:pPr>
            <w:r w:rsidRPr="00066028">
              <w:rPr>
                <w:sz w:val="22"/>
                <w:szCs w:val="22"/>
              </w:rPr>
              <w:t>$4,493,252</w:t>
            </w:r>
          </w:p>
        </w:tc>
        <w:tc>
          <w:tcPr>
            <w:tcW w:w="0" w:type="auto"/>
          </w:tcPr>
          <w:p w:rsidR="00E138DB" w:rsidRPr="00066028" w:rsidRDefault="00E138DB" w:rsidP="00352EF0">
            <w:pPr>
              <w:jc w:val="center"/>
            </w:pPr>
            <w:r w:rsidRPr="00066028">
              <w:rPr>
                <w:sz w:val="22"/>
                <w:szCs w:val="22"/>
              </w:rPr>
              <w:t>$8,551,221</w:t>
            </w:r>
          </w:p>
        </w:tc>
      </w:tr>
      <w:tr w:rsidR="00E138DB" w:rsidRPr="00066028" w:rsidTr="00352EF0">
        <w:trPr>
          <w:trHeight w:val="254"/>
        </w:trPr>
        <w:tc>
          <w:tcPr>
            <w:tcW w:w="1260" w:type="dxa"/>
          </w:tcPr>
          <w:p w:rsidR="00E138DB" w:rsidRPr="00066028" w:rsidRDefault="00E138DB" w:rsidP="0020317B">
            <w:r w:rsidRPr="00066028">
              <w:rPr>
                <w:sz w:val="22"/>
                <w:szCs w:val="22"/>
              </w:rPr>
              <w:t>2009</w:t>
            </w:r>
          </w:p>
        </w:tc>
        <w:tc>
          <w:tcPr>
            <w:tcW w:w="2266" w:type="dxa"/>
          </w:tcPr>
          <w:p w:rsidR="00E138DB" w:rsidRPr="00066028" w:rsidRDefault="00BD7CF9" w:rsidP="00352EF0">
            <w:pPr>
              <w:jc w:val="center"/>
            </w:pPr>
            <w:r w:rsidRPr="00066028">
              <w:rPr>
                <w:sz w:val="22"/>
                <w:szCs w:val="22"/>
              </w:rPr>
              <w:t>$</w:t>
            </w:r>
            <w:r w:rsidR="00E138DB" w:rsidRPr="00066028">
              <w:rPr>
                <w:sz w:val="22"/>
                <w:szCs w:val="22"/>
              </w:rPr>
              <w:t>2,299,568</w:t>
            </w:r>
          </w:p>
        </w:tc>
        <w:tc>
          <w:tcPr>
            <w:tcW w:w="0" w:type="auto"/>
          </w:tcPr>
          <w:p w:rsidR="00E138DB" w:rsidRPr="00066028" w:rsidRDefault="00BD7CF9" w:rsidP="00352EF0">
            <w:pPr>
              <w:jc w:val="center"/>
            </w:pPr>
            <w:r w:rsidRPr="00066028">
              <w:rPr>
                <w:sz w:val="22"/>
                <w:szCs w:val="22"/>
              </w:rPr>
              <w:t>$</w:t>
            </w:r>
            <w:r w:rsidR="00E138DB" w:rsidRPr="00066028">
              <w:rPr>
                <w:sz w:val="22"/>
                <w:szCs w:val="22"/>
              </w:rPr>
              <w:t>2,290,902</w:t>
            </w:r>
          </w:p>
        </w:tc>
        <w:tc>
          <w:tcPr>
            <w:tcW w:w="0" w:type="auto"/>
          </w:tcPr>
          <w:p w:rsidR="00E138DB" w:rsidRPr="00066028" w:rsidRDefault="00E138DB" w:rsidP="00BD7CF9">
            <w:pPr>
              <w:jc w:val="center"/>
            </w:pPr>
            <w:r w:rsidRPr="00066028">
              <w:rPr>
                <w:sz w:val="22"/>
                <w:szCs w:val="22"/>
              </w:rPr>
              <w:t>$4,590,470</w:t>
            </w:r>
          </w:p>
        </w:tc>
      </w:tr>
      <w:tr w:rsidR="00E138DB" w:rsidRPr="00066028" w:rsidTr="00352EF0">
        <w:trPr>
          <w:trHeight w:val="254"/>
        </w:trPr>
        <w:tc>
          <w:tcPr>
            <w:tcW w:w="1260" w:type="dxa"/>
          </w:tcPr>
          <w:p w:rsidR="00E138DB" w:rsidRPr="00066028" w:rsidRDefault="00E138DB" w:rsidP="0020317B">
            <w:r w:rsidRPr="00066028">
              <w:rPr>
                <w:sz w:val="22"/>
                <w:szCs w:val="22"/>
              </w:rPr>
              <w:t>2008</w:t>
            </w:r>
          </w:p>
        </w:tc>
        <w:tc>
          <w:tcPr>
            <w:tcW w:w="2266" w:type="dxa"/>
          </w:tcPr>
          <w:p w:rsidR="00E138DB" w:rsidRPr="00066028" w:rsidRDefault="00BD7CF9" w:rsidP="00352EF0">
            <w:pPr>
              <w:jc w:val="center"/>
            </w:pPr>
            <w:r w:rsidRPr="00066028">
              <w:rPr>
                <w:sz w:val="22"/>
                <w:szCs w:val="22"/>
              </w:rPr>
              <w:t>$</w:t>
            </w:r>
            <w:r w:rsidR="00E138DB" w:rsidRPr="00066028">
              <w:rPr>
                <w:sz w:val="22"/>
                <w:szCs w:val="22"/>
              </w:rPr>
              <w:t>2,080,429</w:t>
            </w:r>
          </w:p>
        </w:tc>
        <w:tc>
          <w:tcPr>
            <w:tcW w:w="0" w:type="auto"/>
          </w:tcPr>
          <w:p w:rsidR="00E138DB" w:rsidRPr="00066028" w:rsidRDefault="00BD7CF9" w:rsidP="00352EF0">
            <w:pPr>
              <w:jc w:val="center"/>
            </w:pPr>
            <w:r w:rsidRPr="00066028">
              <w:rPr>
                <w:sz w:val="22"/>
                <w:szCs w:val="22"/>
              </w:rPr>
              <w:t>$</w:t>
            </w:r>
            <w:r w:rsidR="00E138DB" w:rsidRPr="00066028">
              <w:rPr>
                <w:sz w:val="22"/>
                <w:szCs w:val="22"/>
              </w:rPr>
              <w:t>1,722,465</w:t>
            </w:r>
          </w:p>
        </w:tc>
        <w:tc>
          <w:tcPr>
            <w:tcW w:w="0" w:type="auto"/>
          </w:tcPr>
          <w:p w:rsidR="00E138DB" w:rsidRPr="00066028" w:rsidRDefault="00BD7CF9" w:rsidP="00352EF0">
            <w:pPr>
              <w:jc w:val="center"/>
            </w:pPr>
            <w:r w:rsidRPr="00066028">
              <w:rPr>
                <w:sz w:val="22"/>
                <w:szCs w:val="22"/>
              </w:rPr>
              <w:t>$</w:t>
            </w:r>
            <w:r w:rsidR="00E138DB" w:rsidRPr="00066028">
              <w:rPr>
                <w:sz w:val="22"/>
                <w:szCs w:val="22"/>
              </w:rPr>
              <w:t>3,802,894</w:t>
            </w:r>
          </w:p>
        </w:tc>
      </w:tr>
    </w:tbl>
    <w:p w:rsidR="00E138DB" w:rsidRPr="00066028" w:rsidRDefault="00E138DB" w:rsidP="00B3105B">
      <w:pPr>
        <w:ind w:left="360"/>
        <w:rPr>
          <w:b/>
          <w:sz w:val="22"/>
          <w:szCs w:val="22"/>
        </w:rPr>
      </w:pPr>
    </w:p>
    <w:p w:rsidR="00066028" w:rsidRDefault="00066028" w:rsidP="00E2211D">
      <w:pPr>
        <w:numPr>
          <w:ilvl w:val="0"/>
          <w:numId w:val="2"/>
        </w:numPr>
        <w:rPr>
          <w:b/>
        </w:rPr>
      </w:pPr>
      <w:r w:rsidRPr="005C3859">
        <w:rPr>
          <w:b/>
        </w:rPr>
        <w:t>Participant Eligibility</w:t>
      </w:r>
    </w:p>
    <w:p w:rsidR="00066028" w:rsidRPr="005C3859" w:rsidRDefault="00066028" w:rsidP="00066028">
      <w:pPr>
        <w:ind w:left="864"/>
        <w:rPr>
          <w:b/>
        </w:rPr>
      </w:pPr>
    </w:p>
    <w:p w:rsidR="00066028" w:rsidRPr="00066028" w:rsidRDefault="00066028" w:rsidP="00E2211D">
      <w:pPr>
        <w:pStyle w:val="ListParagraph"/>
        <w:numPr>
          <w:ilvl w:val="1"/>
          <w:numId w:val="5"/>
        </w:numPr>
        <w:tabs>
          <w:tab w:val="left" w:pos="1530"/>
        </w:tabs>
        <w:ind w:left="1260"/>
        <w:rPr>
          <w:sz w:val="22"/>
          <w:szCs w:val="22"/>
        </w:rPr>
      </w:pPr>
      <w:r w:rsidRPr="00066028">
        <w:rPr>
          <w:sz w:val="22"/>
          <w:szCs w:val="22"/>
        </w:rPr>
        <w:t>People enrolled in the Supplemental Nutrition Assistance Program</w:t>
      </w:r>
      <w:r w:rsidR="00956845">
        <w:rPr>
          <w:sz w:val="22"/>
          <w:szCs w:val="22"/>
        </w:rPr>
        <w:t xml:space="preserve"> (SNAP)</w:t>
      </w:r>
      <w:r w:rsidRPr="00066028">
        <w:rPr>
          <w:sz w:val="22"/>
          <w:szCs w:val="22"/>
        </w:rPr>
        <w:t>.</w:t>
      </w:r>
    </w:p>
    <w:p w:rsidR="00066028" w:rsidRPr="00066028" w:rsidRDefault="00066028" w:rsidP="00E2211D">
      <w:pPr>
        <w:pStyle w:val="ListParagraph"/>
        <w:numPr>
          <w:ilvl w:val="1"/>
          <w:numId w:val="5"/>
        </w:numPr>
        <w:tabs>
          <w:tab w:val="left" w:pos="1530"/>
        </w:tabs>
        <w:ind w:left="1260"/>
        <w:rPr>
          <w:sz w:val="22"/>
          <w:szCs w:val="22"/>
        </w:rPr>
      </w:pPr>
      <w:proofErr w:type="gramStart"/>
      <w:r w:rsidRPr="00066028">
        <w:rPr>
          <w:sz w:val="22"/>
          <w:szCs w:val="22"/>
        </w:rPr>
        <w:t>People with a gross income at or below 130% of poverty guidelines.</w:t>
      </w:r>
      <w:proofErr w:type="gramEnd"/>
    </w:p>
    <w:p w:rsidR="00066028" w:rsidRDefault="00066028" w:rsidP="00E2211D">
      <w:pPr>
        <w:pStyle w:val="ListParagraph"/>
        <w:numPr>
          <w:ilvl w:val="1"/>
          <w:numId w:val="5"/>
        </w:numPr>
        <w:tabs>
          <w:tab w:val="num" w:pos="1260"/>
          <w:tab w:val="left" w:pos="1530"/>
        </w:tabs>
        <w:ind w:left="1260"/>
        <w:rPr>
          <w:sz w:val="22"/>
          <w:szCs w:val="22"/>
        </w:rPr>
      </w:pPr>
      <w:r w:rsidRPr="00066028">
        <w:rPr>
          <w:sz w:val="22"/>
          <w:szCs w:val="22"/>
        </w:rPr>
        <w:t xml:space="preserve">People </w:t>
      </w:r>
      <w:r w:rsidR="0095236A">
        <w:rPr>
          <w:sz w:val="22"/>
          <w:szCs w:val="22"/>
        </w:rPr>
        <w:t>attending instructional opportunities</w:t>
      </w:r>
      <w:r w:rsidRPr="00066028">
        <w:rPr>
          <w:sz w:val="22"/>
          <w:szCs w:val="22"/>
        </w:rPr>
        <w:t xml:space="preserve"> </w:t>
      </w:r>
      <w:r w:rsidR="0095236A">
        <w:rPr>
          <w:sz w:val="22"/>
          <w:szCs w:val="22"/>
        </w:rPr>
        <w:t>focused on nutrition which are intended to</w:t>
      </w:r>
      <w:r w:rsidR="0095236A" w:rsidRPr="00066028">
        <w:rPr>
          <w:sz w:val="22"/>
          <w:szCs w:val="22"/>
        </w:rPr>
        <w:t xml:space="preserve"> </w:t>
      </w:r>
      <w:r w:rsidR="0095236A">
        <w:rPr>
          <w:sz w:val="22"/>
          <w:szCs w:val="22"/>
        </w:rPr>
        <w:t>benefit those with</w:t>
      </w:r>
      <w:r w:rsidRPr="00066028">
        <w:rPr>
          <w:sz w:val="22"/>
          <w:szCs w:val="22"/>
        </w:rPr>
        <w:t xml:space="preserve"> gross incomes at or below 185% of poverty guidelines</w:t>
      </w:r>
      <w:r>
        <w:rPr>
          <w:sz w:val="22"/>
          <w:szCs w:val="22"/>
        </w:rPr>
        <w:t>.</w:t>
      </w:r>
    </w:p>
    <w:p w:rsidR="002E40CB" w:rsidRDefault="002E40CB" w:rsidP="002E40CB">
      <w:pPr>
        <w:pStyle w:val="ListParagraph"/>
        <w:tabs>
          <w:tab w:val="left" w:pos="1530"/>
        </w:tabs>
        <w:ind w:left="1260"/>
        <w:rPr>
          <w:sz w:val="22"/>
          <w:szCs w:val="22"/>
        </w:rPr>
      </w:pPr>
    </w:p>
    <w:p w:rsidR="00AB724D" w:rsidRDefault="00AB72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138DB" w:rsidRDefault="00E138DB" w:rsidP="00E2211D">
      <w:pPr>
        <w:numPr>
          <w:ilvl w:val="0"/>
          <w:numId w:val="2"/>
        </w:numPr>
        <w:tabs>
          <w:tab w:val="clear" w:pos="864"/>
          <w:tab w:val="num" w:pos="720"/>
        </w:tabs>
        <w:ind w:hanging="504"/>
        <w:rPr>
          <w:b/>
        </w:rPr>
      </w:pPr>
      <w:r w:rsidRPr="005C3859">
        <w:rPr>
          <w:b/>
        </w:rPr>
        <w:lastRenderedPageBreak/>
        <w:t xml:space="preserve">Program Participants </w:t>
      </w:r>
    </w:p>
    <w:p w:rsidR="00066028" w:rsidRDefault="00066028" w:rsidP="00066028">
      <w:pPr>
        <w:tabs>
          <w:tab w:val="num" w:pos="720"/>
        </w:tabs>
        <w:ind w:left="864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2520"/>
      </w:tblGrid>
      <w:tr w:rsidR="00E138DB" w:rsidRPr="005C3859" w:rsidTr="00411110">
        <w:trPr>
          <w:trHeight w:val="305"/>
        </w:trPr>
        <w:tc>
          <w:tcPr>
            <w:tcW w:w="1440" w:type="dxa"/>
            <w:shd w:val="clear" w:color="auto" w:fill="FBD4B4" w:themeFill="accent6" w:themeFillTint="66"/>
          </w:tcPr>
          <w:p w:rsidR="00E138DB" w:rsidRPr="00276F4D" w:rsidRDefault="005A46A9" w:rsidP="00066028">
            <w:pPr>
              <w:jc w:val="center"/>
              <w:rPr>
                <w:b/>
              </w:rPr>
            </w:pPr>
            <w:proofErr w:type="spellStart"/>
            <w:r w:rsidRPr="00276F4D">
              <w:rPr>
                <w:b/>
              </w:rPr>
              <w:t>F</w:t>
            </w:r>
            <w:r w:rsidR="00E138DB" w:rsidRPr="00276F4D">
              <w:rPr>
                <w:b/>
              </w:rPr>
              <w:t>FY</w:t>
            </w:r>
            <w:proofErr w:type="spellEnd"/>
          </w:p>
        </w:tc>
        <w:tc>
          <w:tcPr>
            <w:tcW w:w="4320" w:type="dxa"/>
            <w:shd w:val="clear" w:color="auto" w:fill="FBD4B4" w:themeFill="accent6" w:themeFillTint="66"/>
          </w:tcPr>
          <w:p w:rsidR="00E138DB" w:rsidRPr="00276F4D" w:rsidRDefault="00517CEA" w:rsidP="00411110">
            <w:pPr>
              <w:jc w:val="center"/>
              <w:rPr>
                <w:b/>
              </w:rPr>
            </w:pPr>
            <w:r>
              <w:rPr>
                <w:b/>
              </w:rPr>
              <w:t>Direct SNAP-Ed C</w:t>
            </w:r>
            <w:r w:rsidR="00E138DB" w:rsidRPr="00276F4D">
              <w:rPr>
                <w:b/>
              </w:rPr>
              <w:t>lass</w:t>
            </w:r>
            <w:r>
              <w:rPr>
                <w:b/>
              </w:rPr>
              <w:t>es Attended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E138DB" w:rsidRPr="00276F4D" w:rsidRDefault="00E138DB" w:rsidP="00066028">
            <w:pPr>
              <w:jc w:val="center"/>
              <w:rPr>
                <w:b/>
              </w:rPr>
            </w:pPr>
            <w:r w:rsidRPr="00276F4D">
              <w:rPr>
                <w:b/>
              </w:rPr>
              <w:t>Exposed to SNAP-Ed</w:t>
            </w:r>
          </w:p>
        </w:tc>
      </w:tr>
      <w:tr w:rsidR="00411110" w:rsidRPr="005C3859" w:rsidTr="00411110">
        <w:trPr>
          <w:trHeight w:val="260"/>
        </w:trPr>
        <w:tc>
          <w:tcPr>
            <w:tcW w:w="1440" w:type="dxa"/>
          </w:tcPr>
          <w:p w:rsidR="00411110" w:rsidRDefault="00411110" w:rsidP="00F0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4320" w:type="dxa"/>
          </w:tcPr>
          <w:p w:rsidR="00411110" w:rsidRDefault="00517CEA" w:rsidP="00111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333,154</w:t>
            </w:r>
          </w:p>
        </w:tc>
        <w:tc>
          <w:tcPr>
            <w:tcW w:w="2520" w:type="dxa"/>
          </w:tcPr>
          <w:p w:rsidR="00411110" w:rsidRDefault="00D6294A" w:rsidP="00111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859,439</w:t>
            </w:r>
          </w:p>
        </w:tc>
      </w:tr>
      <w:tr w:rsidR="00F24939" w:rsidRPr="005C3859" w:rsidTr="00411110">
        <w:trPr>
          <w:trHeight w:val="260"/>
        </w:trPr>
        <w:tc>
          <w:tcPr>
            <w:tcW w:w="1440" w:type="dxa"/>
          </w:tcPr>
          <w:p w:rsidR="00F24939" w:rsidRPr="00066028" w:rsidRDefault="00F24939" w:rsidP="00F0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4320" w:type="dxa"/>
          </w:tcPr>
          <w:p w:rsidR="00F24939" w:rsidRPr="00066028" w:rsidRDefault="000173A2" w:rsidP="00111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344,155</w:t>
            </w:r>
          </w:p>
        </w:tc>
        <w:tc>
          <w:tcPr>
            <w:tcW w:w="2520" w:type="dxa"/>
          </w:tcPr>
          <w:p w:rsidR="00F24939" w:rsidRPr="00066028" w:rsidRDefault="00111347" w:rsidP="00111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1,099,162</w:t>
            </w:r>
          </w:p>
        </w:tc>
      </w:tr>
      <w:tr w:rsidR="00E138DB" w:rsidRPr="005C3859" w:rsidTr="00411110">
        <w:trPr>
          <w:trHeight w:val="260"/>
        </w:trPr>
        <w:tc>
          <w:tcPr>
            <w:tcW w:w="1440" w:type="dxa"/>
          </w:tcPr>
          <w:p w:rsidR="00E138DB" w:rsidRPr="00066028" w:rsidRDefault="00E138DB" w:rsidP="00F036FB">
            <w:r w:rsidRPr="00066028">
              <w:rPr>
                <w:sz w:val="22"/>
                <w:szCs w:val="22"/>
              </w:rPr>
              <w:t xml:space="preserve">2011  </w:t>
            </w:r>
          </w:p>
        </w:tc>
        <w:tc>
          <w:tcPr>
            <w:tcW w:w="43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4</w:t>
            </w:r>
            <w:r w:rsidR="00647A50" w:rsidRPr="00066028">
              <w:rPr>
                <w:sz w:val="22"/>
                <w:szCs w:val="22"/>
              </w:rPr>
              <w:t>41,846</w:t>
            </w:r>
          </w:p>
        </w:tc>
        <w:tc>
          <w:tcPr>
            <w:tcW w:w="2520" w:type="dxa"/>
          </w:tcPr>
          <w:p w:rsidR="00E138DB" w:rsidRPr="00066028" w:rsidRDefault="00647A50" w:rsidP="00111347">
            <w:pPr>
              <w:jc w:val="center"/>
            </w:pPr>
            <w:r w:rsidRPr="00066028">
              <w:rPr>
                <w:sz w:val="22"/>
                <w:szCs w:val="22"/>
              </w:rPr>
              <w:t>663,857</w:t>
            </w:r>
          </w:p>
        </w:tc>
      </w:tr>
      <w:tr w:rsidR="00E138DB" w:rsidRPr="005C3859" w:rsidTr="00111347">
        <w:trPr>
          <w:trHeight w:val="197"/>
        </w:trPr>
        <w:tc>
          <w:tcPr>
            <w:tcW w:w="1440" w:type="dxa"/>
          </w:tcPr>
          <w:p w:rsidR="00E138DB" w:rsidRPr="00066028" w:rsidRDefault="00E138DB" w:rsidP="00F036FB">
            <w:r w:rsidRPr="00066028">
              <w:rPr>
                <w:sz w:val="22"/>
                <w:szCs w:val="22"/>
              </w:rPr>
              <w:t xml:space="preserve">2010 </w:t>
            </w:r>
          </w:p>
        </w:tc>
        <w:tc>
          <w:tcPr>
            <w:tcW w:w="43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452,480</w:t>
            </w:r>
          </w:p>
        </w:tc>
        <w:tc>
          <w:tcPr>
            <w:tcW w:w="25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893,089</w:t>
            </w:r>
          </w:p>
        </w:tc>
      </w:tr>
      <w:tr w:rsidR="00E138DB" w:rsidRPr="005C3859" w:rsidTr="00411110">
        <w:trPr>
          <w:trHeight w:val="249"/>
        </w:trPr>
        <w:tc>
          <w:tcPr>
            <w:tcW w:w="1440" w:type="dxa"/>
          </w:tcPr>
          <w:p w:rsidR="00E138DB" w:rsidRPr="00066028" w:rsidRDefault="00E138DB" w:rsidP="0020317B">
            <w:r w:rsidRPr="00066028">
              <w:rPr>
                <w:sz w:val="22"/>
                <w:szCs w:val="22"/>
              </w:rPr>
              <w:t>2009</w:t>
            </w:r>
          </w:p>
        </w:tc>
        <w:tc>
          <w:tcPr>
            <w:tcW w:w="43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245,547</w:t>
            </w:r>
          </w:p>
        </w:tc>
        <w:tc>
          <w:tcPr>
            <w:tcW w:w="25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1,038,785</w:t>
            </w:r>
          </w:p>
        </w:tc>
      </w:tr>
      <w:tr w:rsidR="00E138DB" w:rsidRPr="005C3859" w:rsidTr="00411110">
        <w:trPr>
          <w:trHeight w:val="249"/>
        </w:trPr>
        <w:tc>
          <w:tcPr>
            <w:tcW w:w="1440" w:type="dxa"/>
          </w:tcPr>
          <w:p w:rsidR="00E138DB" w:rsidRPr="00066028" w:rsidRDefault="00E138DB" w:rsidP="0020317B">
            <w:r w:rsidRPr="00066028">
              <w:rPr>
                <w:sz w:val="22"/>
                <w:szCs w:val="22"/>
              </w:rPr>
              <w:t>2008</w:t>
            </w:r>
          </w:p>
        </w:tc>
        <w:tc>
          <w:tcPr>
            <w:tcW w:w="43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232,238</w:t>
            </w:r>
          </w:p>
        </w:tc>
        <w:tc>
          <w:tcPr>
            <w:tcW w:w="2520" w:type="dxa"/>
          </w:tcPr>
          <w:p w:rsidR="00E138DB" w:rsidRPr="00066028" w:rsidRDefault="00E138DB" w:rsidP="00111347">
            <w:pPr>
              <w:jc w:val="center"/>
            </w:pPr>
            <w:r w:rsidRPr="00066028">
              <w:rPr>
                <w:sz w:val="22"/>
                <w:szCs w:val="22"/>
              </w:rPr>
              <w:t>1,038,305</w:t>
            </w:r>
          </w:p>
        </w:tc>
      </w:tr>
    </w:tbl>
    <w:p w:rsidR="00066028" w:rsidRPr="005C3859" w:rsidRDefault="00066028" w:rsidP="00D91133">
      <w:pPr>
        <w:rPr>
          <w:b/>
        </w:rPr>
      </w:pPr>
    </w:p>
    <w:p w:rsidR="00E138DB" w:rsidRDefault="00E138DB" w:rsidP="00E2211D">
      <w:pPr>
        <w:pStyle w:val="ListParagraph"/>
        <w:numPr>
          <w:ilvl w:val="0"/>
          <w:numId w:val="2"/>
        </w:numPr>
        <w:rPr>
          <w:b/>
        </w:rPr>
      </w:pPr>
      <w:r w:rsidRPr="00066028">
        <w:rPr>
          <w:b/>
        </w:rPr>
        <w:t>Key Behavioral Out</w:t>
      </w:r>
      <w:r w:rsidR="006F527D">
        <w:rPr>
          <w:b/>
        </w:rPr>
        <w:t>comes of SNAP-Ed classes in order to magnify the impact of SNAP-Ed</w:t>
      </w:r>
      <w:r w:rsidRPr="00066028">
        <w:rPr>
          <w:b/>
        </w:rPr>
        <w:t>:</w:t>
      </w:r>
    </w:p>
    <w:p w:rsidR="00066028" w:rsidRPr="00066028" w:rsidRDefault="00066028" w:rsidP="00066028">
      <w:pPr>
        <w:pStyle w:val="ListParagraph"/>
        <w:ind w:left="864"/>
        <w:rPr>
          <w:b/>
        </w:rPr>
      </w:pPr>
    </w:p>
    <w:p w:rsidR="006A3476" w:rsidRDefault="006A3476" w:rsidP="00E2211D">
      <w:pPr>
        <w:numPr>
          <w:ilvl w:val="1"/>
          <w:numId w:val="6"/>
        </w:numPr>
        <w:tabs>
          <w:tab w:val="clear" w:pos="1440"/>
          <w:tab w:val="num" w:pos="1260"/>
        </w:tabs>
        <w:ind w:left="1260"/>
        <w:jc w:val="both"/>
        <w:rPr>
          <w:sz w:val="22"/>
          <w:szCs w:val="22"/>
        </w:rPr>
      </w:pPr>
      <w:r w:rsidRPr="006A3476">
        <w:rPr>
          <w:sz w:val="22"/>
          <w:szCs w:val="22"/>
        </w:rPr>
        <w:t xml:space="preserve">Make half your plate fruits and vegetables, at least half your grains whole grains, and switch to fat-free or low-fat milk and milk products; </w:t>
      </w:r>
    </w:p>
    <w:p w:rsidR="006F527D" w:rsidRDefault="006A3476" w:rsidP="00E2211D">
      <w:pPr>
        <w:numPr>
          <w:ilvl w:val="1"/>
          <w:numId w:val="6"/>
        </w:numPr>
        <w:tabs>
          <w:tab w:val="clear" w:pos="1440"/>
          <w:tab w:val="num" w:pos="1260"/>
        </w:tabs>
        <w:ind w:left="1260"/>
        <w:jc w:val="both"/>
        <w:rPr>
          <w:sz w:val="22"/>
          <w:szCs w:val="22"/>
        </w:rPr>
      </w:pPr>
      <w:r w:rsidRPr="006A3476">
        <w:rPr>
          <w:sz w:val="22"/>
          <w:szCs w:val="22"/>
        </w:rPr>
        <w:t>Increase physical activity and reduce time spent in sedentary behaviors as part of a healthy lifestyle</w:t>
      </w:r>
      <w:r w:rsidR="006F527D">
        <w:rPr>
          <w:sz w:val="22"/>
          <w:szCs w:val="22"/>
        </w:rPr>
        <w:t>.</w:t>
      </w:r>
    </w:p>
    <w:p w:rsidR="00C81D34" w:rsidRPr="006F527D" w:rsidRDefault="006F527D" w:rsidP="006F527D">
      <w:pPr>
        <w:numPr>
          <w:ilvl w:val="1"/>
          <w:numId w:val="6"/>
        </w:numPr>
        <w:tabs>
          <w:tab w:val="clear" w:pos="1440"/>
          <w:tab w:val="num" w:pos="1260"/>
        </w:tabs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Maintain appropriate calorie balance during each stage of life</w:t>
      </w:r>
      <w:r w:rsidR="00956845">
        <w:rPr>
          <w:sz w:val="22"/>
          <w:szCs w:val="22"/>
        </w:rPr>
        <w:t xml:space="preserve">:  </w:t>
      </w:r>
      <w:r>
        <w:rPr>
          <w:sz w:val="22"/>
          <w:szCs w:val="22"/>
        </w:rPr>
        <w:t>childhood, adolescence, adulthood, pregnancy</w:t>
      </w:r>
      <w:r w:rsidR="00AB724D">
        <w:rPr>
          <w:sz w:val="22"/>
          <w:szCs w:val="22"/>
        </w:rPr>
        <w:t>,</w:t>
      </w:r>
      <w:r>
        <w:rPr>
          <w:sz w:val="22"/>
          <w:szCs w:val="22"/>
        </w:rPr>
        <w:t xml:space="preserve"> breastfeeding, and older age.</w:t>
      </w:r>
    </w:p>
    <w:p w:rsidR="00E138DB" w:rsidRDefault="00E138DB" w:rsidP="00066028">
      <w:pPr>
        <w:tabs>
          <w:tab w:val="num" w:pos="1260"/>
        </w:tabs>
        <w:ind w:left="1260"/>
        <w:rPr>
          <w:b/>
        </w:rPr>
      </w:pPr>
    </w:p>
    <w:p w:rsidR="00E138DB" w:rsidRDefault="00E138DB" w:rsidP="00E2211D">
      <w:pPr>
        <w:numPr>
          <w:ilvl w:val="0"/>
          <w:numId w:val="2"/>
        </w:numPr>
        <w:rPr>
          <w:b/>
        </w:rPr>
      </w:pPr>
      <w:r w:rsidRPr="005C3859">
        <w:rPr>
          <w:b/>
        </w:rPr>
        <w:t>Who is eligible to provide SNAP-Ed services?</w:t>
      </w:r>
    </w:p>
    <w:p w:rsidR="00066028" w:rsidRPr="005C3859" w:rsidRDefault="00066028" w:rsidP="00066028">
      <w:pPr>
        <w:ind w:left="864"/>
        <w:rPr>
          <w:b/>
        </w:rPr>
      </w:pPr>
    </w:p>
    <w:p w:rsidR="00E138DB" w:rsidRPr="00066028" w:rsidRDefault="00E138DB" w:rsidP="00E2211D">
      <w:pPr>
        <w:numPr>
          <w:ilvl w:val="1"/>
          <w:numId w:val="7"/>
        </w:numPr>
        <w:tabs>
          <w:tab w:val="clear" w:pos="1584"/>
          <w:tab w:val="num" w:pos="1260"/>
        </w:tabs>
        <w:ind w:left="1260"/>
        <w:jc w:val="both"/>
        <w:rPr>
          <w:bCs/>
          <w:sz w:val="22"/>
          <w:szCs w:val="22"/>
        </w:rPr>
      </w:pPr>
      <w:proofErr w:type="gramStart"/>
      <w:r w:rsidRPr="00066028">
        <w:rPr>
          <w:sz w:val="22"/>
          <w:szCs w:val="22"/>
        </w:rPr>
        <w:t>Entities serving low</w:t>
      </w:r>
      <w:r w:rsidR="00647A50" w:rsidRPr="00066028">
        <w:rPr>
          <w:sz w:val="22"/>
          <w:szCs w:val="22"/>
        </w:rPr>
        <w:t>-income audiences.</w:t>
      </w:r>
      <w:proofErr w:type="gramEnd"/>
      <w:r w:rsidR="00647A50" w:rsidRPr="00066028">
        <w:rPr>
          <w:sz w:val="22"/>
          <w:szCs w:val="22"/>
        </w:rPr>
        <w:t xml:space="preserve"> </w:t>
      </w:r>
      <w:r w:rsidRPr="00066028">
        <w:rPr>
          <w:sz w:val="22"/>
          <w:szCs w:val="22"/>
        </w:rPr>
        <w:t xml:space="preserve">A </w:t>
      </w:r>
      <w:r w:rsidR="00AB724D">
        <w:rPr>
          <w:sz w:val="22"/>
          <w:szCs w:val="22"/>
        </w:rPr>
        <w:t xml:space="preserve">health </w:t>
      </w:r>
      <w:r w:rsidRPr="00066028">
        <w:rPr>
          <w:sz w:val="22"/>
          <w:szCs w:val="22"/>
        </w:rPr>
        <w:t xml:space="preserve">professional with nutrition education experience must be available to oversee and/or directly implement the program. </w:t>
      </w:r>
    </w:p>
    <w:p w:rsidR="007F1AA7" w:rsidRPr="00066028" w:rsidRDefault="005A46A9" w:rsidP="00E2211D">
      <w:pPr>
        <w:numPr>
          <w:ilvl w:val="1"/>
          <w:numId w:val="7"/>
        </w:numPr>
        <w:tabs>
          <w:tab w:val="clear" w:pos="1584"/>
          <w:tab w:val="num" w:pos="1260"/>
        </w:tabs>
        <w:ind w:left="1260"/>
        <w:jc w:val="both"/>
        <w:rPr>
          <w:bCs/>
          <w:sz w:val="22"/>
          <w:szCs w:val="22"/>
        </w:rPr>
      </w:pPr>
      <w:r w:rsidRPr="00066028">
        <w:rPr>
          <w:sz w:val="22"/>
          <w:szCs w:val="22"/>
        </w:rPr>
        <w:t xml:space="preserve">All </w:t>
      </w:r>
      <w:r w:rsidR="00806721">
        <w:rPr>
          <w:sz w:val="22"/>
          <w:szCs w:val="22"/>
        </w:rPr>
        <w:t xml:space="preserve">SNAP-Ed </w:t>
      </w:r>
      <w:r w:rsidRPr="00066028">
        <w:rPr>
          <w:sz w:val="22"/>
          <w:szCs w:val="22"/>
        </w:rPr>
        <w:t xml:space="preserve">contracts </w:t>
      </w:r>
      <w:proofErr w:type="gramStart"/>
      <w:r w:rsidR="00806721">
        <w:rPr>
          <w:sz w:val="22"/>
          <w:szCs w:val="22"/>
        </w:rPr>
        <w:t xml:space="preserve">are </w:t>
      </w:r>
      <w:r w:rsidR="003827F0" w:rsidRPr="00066028">
        <w:rPr>
          <w:sz w:val="22"/>
          <w:szCs w:val="22"/>
        </w:rPr>
        <w:t xml:space="preserve">awarded by </w:t>
      </w:r>
      <w:r w:rsidR="00806721">
        <w:rPr>
          <w:sz w:val="22"/>
          <w:szCs w:val="22"/>
        </w:rPr>
        <w:t xml:space="preserve">a </w:t>
      </w:r>
      <w:r w:rsidR="007F1AA7" w:rsidRPr="00066028">
        <w:rPr>
          <w:sz w:val="22"/>
          <w:szCs w:val="22"/>
        </w:rPr>
        <w:t xml:space="preserve">Request for Proposal process </w:t>
      </w:r>
      <w:r w:rsidR="003827F0" w:rsidRPr="00066028">
        <w:rPr>
          <w:sz w:val="22"/>
          <w:szCs w:val="22"/>
        </w:rPr>
        <w:t>and selected by committee review</w:t>
      </w:r>
      <w:proofErr w:type="gramEnd"/>
      <w:r w:rsidR="003827F0" w:rsidRPr="00066028">
        <w:rPr>
          <w:sz w:val="22"/>
          <w:szCs w:val="22"/>
        </w:rPr>
        <w:t xml:space="preserve">. </w:t>
      </w:r>
      <w:r w:rsidR="00806721">
        <w:rPr>
          <w:sz w:val="22"/>
          <w:szCs w:val="22"/>
        </w:rPr>
        <w:t xml:space="preserve">Contracts </w:t>
      </w:r>
      <w:proofErr w:type="gramStart"/>
      <w:r w:rsidR="003827F0" w:rsidRPr="00066028">
        <w:rPr>
          <w:sz w:val="22"/>
          <w:szCs w:val="22"/>
        </w:rPr>
        <w:t>may be</w:t>
      </w:r>
      <w:r w:rsidR="007F1AA7" w:rsidRPr="00066028">
        <w:rPr>
          <w:sz w:val="22"/>
          <w:szCs w:val="22"/>
        </w:rPr>
        <w:t xml:space="preserve"> renewed</w:t>
      </w:r>
      <w:proofErr w:type="gramEnd"/>
      <w:r w:rsidR="007F1AA7" w:rsidRPr="00066028">
        <w:rPr>
          <w:sz w:val="22"/>
          <w:szCs w:val="22"/>
        </w:rPr>
        <w:t xml:space="preserve"> for up to four years. </w:t>
      </w:r>
      <w:r w:rsidR="00806721">
        <w:rPr>
          <w:sz w:val="22"/>
          <w:szCs w:val="22"/>
        </w:rPr>
        <w:t xml:space="preserve">This process </w:t>
      </w:r>
      <w:proofErr w:type="gramStart"/>
      <w:r w:rsidR="00806721">
        <w:rPr>
          <w:sz w:val="22"/>
          <w:szCs w:val="22"/>
        </w:rPr>
        <w:t>was done</w:t>
      </w:r>
      <w:proofErr w:type="gramEnd"/>
      <w:r w:rsidR="00806721">
        <w:rPr>
          <w:sz w:val="22"/>
          <w:szCs w:val="22"/>
        </w:rPr>
        <w:t xml:space="preserve"> in FFY12.</w:t>
      </w:r>
    </w:p>
    <w:p w:rsidR="0098665D" w:rsidRDefault="0098665D" w:rsidP="00D91133"/>
    <w:p w:rsidR="00E138DB" w:rsidRDefault="00E138DB" w:rsidP="00E2211D">
      <w:pPr>
        <w:numPr>
          <w:ilvl w:val="0"/>
          <w:numId w:val="2"/>
        </w:numPr>
        <w:rPr>
          <w:b/>
        </w:rPr>
      </w:pPr>
      <w:r w:rsidRPr="005C3859">
        <w:rPr>
          <w:b/>
        </w:rPr>
        <w:t>Who provides SNAP-Ed Services in New Mexico to eligible persons?</w:t>
      </w:r>
    </w:p>
    <w:p w:rsidR="00066028" w:rsidRPr="005C3859" w:rsidRDefault="00066028" w:rsidP="00066028">
      <w:pPr>
        <w:ind w:left="864"/>
        <w:rPr>
          <w:b/>
        </w:rPr>
      </w:pPr>
    </w:p>
    <w:p w:rsidR="00E138DB" w:rsidRPr="008B0146" w:rsidRDefault="00E138DB" w:rsidP="00E2211D">
      <w:pPr>
        <w:pStyle w:val="ListParagraph"/>
        <w:numPr>
          <w:ilvl w:val="0"/>
          <w:numId w:val="8"/>
        </w:numPr>
        <w:ind w:left="1350" w:hanging="45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>New Mexico State University Cooperative Extension Service</w:t>
      </w:r>
    </w:p>
    <w:p w:rsidR="00E138DB" w:rsidRPr="008B0146" w:rsidRDefault="00517CEA" w:rsidP="00E2211D">
      <w:pPr>
        <w:pStyle w:val="ListParagraph"/>
        <w:numPr>
          <w:ilvl w:val="1"/>
          <w:numId w:val="8"/>
        </w:numPr>
        <w:tabs>
          <w:tab w:val="left" w:pos="1800"/>
        </w:tabs>
        <w:ind w:left="1800" w:hanging="45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ICAN</w:t>
      </w:r>
      <w:proofErr w:type="spellEnd"/>
      <w:r>
        <w:rPr>
          <w:sz w:val="22"/>
          <w:szCs w:val="22"/>
        </w:rPr>
        <w:t xml:space="preserve"> – adults in 16</w:t>
      </w:r>
      <w:r w:rsidR="00E138DB" w:rsidRPr="008B0146">
        <w:rPr>
          <w:sz w:val="22"/>
          <w:szCs w:val="22"/>
        </w:rPr>
        <w:t xml:space="preserve"> counties</w:t>
      </w:r>
    </w:p>
    <w:p w:rsidR="00E138DB" w:rsidRPr="008B0146" w:rsidRDefault="00517CEA" w:rsidP="00E2211D">
      <w:pPr>
        <w:pStyle w:val="ListParagraph"/>
        <w:numPr>
          <w:ilvl w:val="1"/>
          <w:numId w:val="8"/>
        </w:numPr>
        <w:tabs>
          <w:tab w:val="left" w:pos="1800"/>
        </w:tabs>
        <w:ind w:left="1800" w:hanging="45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kIdsCAN</w:t>
      </w:r>
      <w:proofErr w:type="spellEnd"/>
      <w:r>
        <w:rPr>
          <w:sz w:val="22"/>
          <w:szCs w:val="22"/>
        </w:rPr>
        <w:t xml:space="preserve"> – children in 16</w:t>
      </w:r>
      <w:r w:rsidR="00E138DB" w:rsidRPr="008B0146">
        <w:rPr>
          <w:sz w:val="22"/>
          <w:szCs w:val="22"/>
        </w:rPr>
        <w:t xml:space="preserve"> counties</w:t>
      </w:r>
    </w:p>
    <w:p w:rsidR="00647A50" w:rsidRPr="008B0146" w:rsidRDefault="00647A50" w:rsidP="00E2211D">
      <w:pPr>
        <w:pStyle w:val="ListParagraph"/>
        <w:numPr>
          <w:ilvl w:val="0"/>
          <w:numId w:val="8"/>
        </w:numPr>
        <w:ind w:left="1350" w:hanging="45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>University of New Mexico Prevention Research Center</w:t>
      </w:r>
    </w:p>
    <w:p w:rsidR="00647A50" w:rsidRPr="008B0146" w:rsidRDefault="00647A50" w:rsidP="00E2211D">
      <w:pPr>
        <w:pStyle w:val="ListParagraph"/>
        <w:numPr>
          <w:ilvl w:val="1"/>
          <w:numId w:val="8"/>
        </w:numPr>
        <w:ind w:left="180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>CH</w:t>
      </w:r>
      <w:r w:rsidR="00C61278">
        <w:rPr>
          <w:sz w:val="22"/>
          <w:szCs w:val="22"/>
        </w:rPr>
        <w:t>ILE Plus-children enrolled in 14</w:t>
      </w:r>
      <w:r w:rsidRPr="008B0146">
        <w:rPr>
          <w:sz w:val="22"/>
          <w:szCs w:val="22"/>
        </w:rPr>
        <w:t xml:space="preserve"> rural </w:t>
      </w:r>
      <w:r w:rsidR="000173A2">
        <w:rPr>
          <w:sz w:val="22"/>
          <w:szCs w:val="22"/>
        </w:rPr>
        <w:t xml:space="preserve">and Tribal </w:t>
      </w:r>
      <w:r w:rsidR="005D01B7">
        <w:rPr>
          <w:sz w:val="22"/>
          <w:szCs w:val="22"/>
        </w:rPr>
        <w:t>Head Start programs</w:t>
      </w:r>
    </w:p>
    <w:p w:rsidR="00E138DB" w:rsidRPr="008B0146" w:rsidRDefault="004A74BF" w:rsidP="00E2211D">
      <w:pPr>
        <w:pStyle w:val="ListParagraph"/>
        <w:numPr>
          <w:ilvl w:val="0"/>
          <w:numId w:val="8"/>
        </w:numPr>
        <w:ind w:left="1350" w:hanging="45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>Co</w:t>
      </w:r>
      <w:r w:rsidR="00C61278">
        <w:rPr>
          <w:sz w:val="22"/>
          <w:szCs w:val="22"/>
        </w:rPr>
        <w:t>oking with Kids – students in 13</w:t>
      </w:r>
      <w:r w:rsidR="00C81D34" w:rsidRPr="008B0146">
        <w:rPr>
          <w:sz w:val="22"/>
          <w:szCs w:val="22"/>
        </w:rPr>
        <w:t xml:space="preserve"> </w:t>
      </w:r>
      <w:r w:rsidR="00E138DB" w:rsidRPr="008B0146">
        <w:rPr>
          <w:sz w:val="22"/>
          <w:szCs w:val="22"/>
        </w:rPr>
        <w:t>eligible Santa Fe Public Schools</w:t>
      </w:r>
    </w:p>
    <w:p w:rsidR="00E138DB" w:rsidRPr="008B0146" w:rsidRDefault="00E138DB" w:rsidP="00E2211D">
      <w:pPr>
        <w:pStyle w:val="ListParagraph"/>
        <w:numPr>
          <w:ilvl w:val="0"/>
          <w:numId w:val="8"/>
        </w:numPr>
        <w:ind w:left="1350" w:hanging="45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 xml:space="preserve">Kids Cook – students in </w:t>
      </w:r>
      <w:r w:rsidR="00C61278">
        <w:rPr>
          <w:sz w:val="22"/>
          <w:szCs w:val="22"/>
        </w:rPr>
        <w:t>11</w:t>
      </w:r>
      <w:r w:rsidR="004A74BF" w:rsidRPr="008B0146">
        <w:rPr>
          <w:sz w:val="22"/>
          <w:szCs w:val="22"/>
        </w:rPr>
        <w:t xml:space="preserve"> </w:t>
      </w:r>
      <w:r w:rsidRPr="008B0146">
        <w:rPr>
          <w:sz w:val="22"/>
          <w:szCs w:val="22"/>
        </w:rPr>
        <w:t>eligible Albuquerque Public Schools</w:t>
      </w:r>
    </w:p>
    <w:p w:rsidR="00661AAD" w:rsidRPr="008B0146" w:rsidRDefault="00E138DB" w:rsidP="00E2211D">
      <w:pPr>
        <w:pStyle w:val="ListParagraph"/>
        <w:numPr>
          <w:ilvl w:val="0"/>
          <w:numId w:val="8"/>
        </w:numPr>
        <w:ind w:left="1350" w:hanging="450"/>
        <w:jc w:val="both"/>
        <w:rPr>
          <w:sz w:val="22"/>
          <w:szCs w:val="22"/>
        </w:rPr>
      </w:pPr>
      <w:r w:rsidRPr="008B0146">
        <w:rPr>
          <w:sz w:val="22"/>
          <w:szCs w:val="22"/>
        </w:rPr>
        <w:t xml:space="preserve">Las Cruces Public Schools – students in </w:t>
      </w:r>
      <w:r w:rsidR="00C61278">
        <w:rPr>
          <w:sz w:val="22"/>
          <w:szCs w:val="22"/>
        </w:rPr>
        <w:t>33</w:t>
      </w:r>
      <w:r w:rsidR="004A74BF" w:rsidRPr="008B0146">
        <w:rPr>
          <w:sz w:val="22"/>
          <w:szCs w:val="22"/>
        </w:rPr>
        <w:t xml:space="preserve"> </w:t>
      </w:r>
      <w:r w:rsidR="000173A2">
        <w:rPr>
          <w:sz w:val="22"/>
          <w:szCs w:val="22"/>
        </w:rPr>
        <w:t>elementary</w:t>
      </w:r>
      <w:r w:rsidR="00C61278">
        <w:rPr>
          <w:sz w:val="22"/>
          <w:szCs w:val="22"/>
        </w:rPr>
        <w:t xml:space="preserve"> and middle</w:t>
      </w:r>
      <w:r w:rsidRPr="008B0146">
        <w:rPr>
          <w:sz w:val="22"/>
          <w:szCs w:val="22"/>
        </w:rPr>
        <w:t xml:space="preserve"> schools of this district</w:t>
      </w:r>
    </w:p>
    <w:p w:rsidR="00E138DB" w:rsidRPr="005C3859" w:rsidRDefault="00E138DB" w:rsidP="001C37F0">
      <w:pPr>
        <w:ind w:left="360"/>
        <w:rPr>
          <w:b/>
        </w:rPr>
      </w:pPr>
    </w:p>
    <w:p w:rsidR="00661AAD" w:rsidRDefault="00661AAD" w:rsidP="00E2211D">
      <w:pPr>
        <w:numPr>
          <w:ilvl w:val="0"/>
          <w:numId w:val="2"/>
        </w:numPr>
        <w:rPr>
          <w:b/>
        </w:rPr>
      </w:pPr>
      <w:r w:rsidRPr="007F1AA7">
        <w:rPr>
          <w:b/>
        </w:rPr>
        <w:t>Oversight and Reviews</w:t>
      </w:r>
    </w:p>
    <w:p w:rsidR="008B0146" w:rsidRPr="007F1AA7" w:rsidRDefault="008B0146" w:rsidP="008B0146">
      <w:pPr>
        <w:ind w:left="864"/>
        <w:rPr>
          <w:b/>
        </w:rPr>
      </w:pPr>
    </w:p>
    <w:p w:rsidR="00661AAD" w:rsidRPr="008B0146" w:rsidRDefault="00B27D62" w:rsidP="00E2211D">
      <w:pPr>
        <w:pStyle w:val="ListParagraph"/>
        <w:numPr>
          <w:ilvl w:val="0"/>
          <w:numId w:val="9"/>
        </w:numPr>
        <w:ind w:left="1260"/>
        <w:rPr>
          <w:sz w:val="22"/>
          <w:szCs w:val="22"/>
        </w:rPr>
      </w:pPr>
      <w:r w:rsidRPr="008B0146">
        <w:rPr>
          <w:sz w:val="22"/>
          <w:szCs w:val="22"/>
        </w:rPr>
        <w:t>HSD policy requires that the program manager conduct</w:t>
      </w:r>
      <w:r w:rsidR="00661AAD" w:rsidRPr="008B0146">
        <w:rPr>
          <w:sz w:val="22"/>
          <w:szCs w:val="22"/>
        </w:rPr>
        <w:t xml:space="preserve"> annual </w:t>
      </w:r>
      <w:r w:rsidR="00391C32" w:rsidRPr="008B0146">
        <w:rPr>
          <w:sz w:val="22"/>
          <w:szCs w:val="22"/>
        </w:rPr>
        <w:t>sub</w:t>
      </w:r>
      <w:r w:rsidR="005D01B7">
        <w:rPr>
          <w:sz w:val="22"/>
          <w:szCs w:val="22"/>
        </w:rPr>
        <w:t>-</w:t>
      </w:r>
      <w:r w:rsidR="00391C32" w:rsidRPr="008B0146">
        <w:rPr>
          <w:sz w:val="22"/>
          <w:szCs w:val="22"/>
        </w:rPr>
        <w:t>recipient</w:t>
      </w:r>
      <w:r w:rsidR="00661AAD" w:rsidRPr="008B0146">
        <w:rPr>
          <w:sz w:val="22"/>
          <w:szCs w:val="22"/>
        </w:rPr>
        <w:t xml:space="preserve"> monitoring of all </w:t>
      </w:r>
      <w:r w:rsidR="00661AAD" w:rsidRPr="008B0146">
        <w:rPr>
          <w:sz w:val="22"/>
          <w:szCs w:val="22"/>
        </w:rPr>
        <w:tab/>
      </w:r>
      <w:r w:rsidRPr="008B0146">
        <w:rPr>
          <w:sz w:val="22"/>
          <w:szCs w:val="22"/>
        </w:rPr>
        <w:t xml:space="preserve">    </w:t>
      </w:r>
      <w:r w:rsidRPr="008B0146">
        <w:rPr>
          <w:sz w:val="22"/>
          <w:szCs w:val="22"/>
        </w:rPr>
        <w:tab/>
        <w:t xml:space="preserve">  </w:t>
      </w:r>
      <w:r w:rsidR="00661AAD" w:rsidRPr="008B0146">
        <w:rPr>
          <w:sz w:val="22"/>
          <w:szCs w:val="22"/>
        </w:rPr>
        <w:t xml:space="preserve">contracting agencies, to include program and fiscal </w:t>
      </w:r>
      <w:r w:rsidR="007F1AA7" w:rsidRPr="008B0146">
        <w:rPr>
          <w:sz w:val="22"/>
          <w:szCs w:val="22"/>
        </w:rPr>
        <w:t xml:space="preserve">integrity </w:t>
      </w:r>
      <w:r w:rsidR="00661AAD" w:rsidRPr="008B0146">
        <w:rPr>
          <w:sz w:val="22"/>
          <w:szCs w:val="22"/>
        </w:rPr>
        <w:t>review</w:t>
      </w:r>
      <w:r w:rsidR="005D01B7">
        <w:rPr>
          <w:sz w:val="22"/>
          <w:szCs w:val="22"/>
        </w:rPr>
        <w:t>s</w:t>
      </w:r>
      <w:r w:rsidR="00661AAD" w:rsidRPr="008B0146">
        <w:rPr>
          <w:sz w:val="22"/>
          <w:szCs w:val="22"/>
        </w:rPr>
        <w:t xml:space="preserve">. </w:t>
      </w:r>
    </w:p>
    <w:p w:rsidR="005A46A9" w:rsidRPr="008B0146" w:rsidRDefault="005A46A9" w:rsidP="00E2211D">
      <w:pPr>
        <w:pStyle w:val="ListParagraph"/>
        <w:numPr>
          <w:ilvl w:val="0"/>
          <w:numId w:val="9"/>
        </w:numPr>
        <w:ind w:left="1260"/>
        <w:rPr>
          <w:sz w:val="22"/>
          <w:szCs w:val="22"/>
        </w:rPr>
      </w:pPr>
      <w:r w:rsidRPr="008B0146">
        <w:rPr>
          <w:sz w:val="22"/>
          <w:szCs w:val="22"/>
        </w:rPr>
        <w:t>USDA</w:t>
      </w:r>
      <w:r w:rsidR="00B27D62" w:rsidRPr="008B0146">
        <w:rPr>
          <w:sz w:val="22"/>
          <w:szCs w:val="22"/>
        </w:rPr>
        <w:t xml:space="preserve">/Food and Nutrition Services approves the State’s </w:t>
      </w:r>
      <w:r w:rsidRPr="008B0146">
        <w:rPr>
          <w:sz w:val="22"/>
          <w:szCs w:val="22"/>
        </w:rPr>
        <w:t>nutrition e</w:t>
      </w:r>
      <w:r w:rsidR="00B27D62" w:rsidRPr="008B0146">
        <w:rPr>
          <w:sz w:val="22"/>
          <w:szCs w:val="22"/>
        </w:rPr>
        <w:t xml:space="preserve">ducation </w:t>
      </w:r>
      <w:r w:rsidRPr="008B0146">
        <w:rPr>
          <w:sz w:val="22"/>
          <w:szCs w:val="22"/>
        </w:rPr>
        <w:t>p</w:t>
      </w:r>
      <w:r w:rsidR="007B3674" w:rsidRPr="008B0146">
        <w:rPr>
          <w:sz w:val="22"/>
          <w:szCs w:val="22"/>
        </w:rPr>
        <w:t xml:space="preserve">lan each </w:t>
      </w:r>
      <w:r w:rsidR="00B27D62" w:rsidRPr="008B0146">
        <w:rPr>
          <w:sz w:val="22"/>
          <w:szCs w:val="22"/>
        </w:rPr>
        <w:tab/>
      </w:r>
      <w:r w:rsidR="00B27D62" w:rsidRPr="008B0146">
        <w:rPr>
          <w:sz w:val="22"/>
          <w:szCs w:val="22"/>
        </w:rPr>
        <w:tab/>
        <w:t xml:space="preserve">          </w:t>
      </w:r>
      <w:r w:rsidR="00B27D62" w:rsidRPr="008B0146">
        <w:rPr>
          <w:sz w:val="22"/>
          <w:szCs w:val="22"/>
        </w:rPr>
        <w:tab/>
        <w:t xml:space="preserve">   </w:t>
      </w:r>
      <w:r w:rsidR="007B3674" w:rsidRPr="008B0146">
        <w:rPr>
          <w:sz w:val="22"/>
          <w:szCs w:val="22"/>
        </w:rPr>
        <w:t xml:space="preserve">year and </w:t>
      </w:r>
      <w:r w:rsidR="00B27D62" w:rsidRPr="008B0146">
        <w:rPr>
          <w:sz w:val="22"/>
          <w:szCs w:val="22"/>
        </w:rPr>
        <w:t xml:space="preserve">requires </w:t>
      </w:r>
      <w:r w:rsidR="007B3674" w:rsidRPr="008B0146">
        <w:rPr>
          <w:sz w:val="22"/>
          <w:szCs w:val="22"/>
        </w:rPr>
        <w:t>an annual</w:t>
      </w:r>
      <w:r w:rsidR="00B27D62" w:rsidRPr="008B0146">
        <w:rPr>
          <w:sz w:val="22"/>
          <w:szCs w:val="22"/>
        </w:rPr>
        <w:t xml:space="preserve"> report on the p</w:t>
      </w:r>
      <w:r w:rsidRPr="008B0146">
        <w:rPr>
          <w:sz w:val="22"/>
          <w:szCs w:val="22"/>
        </w:rPr>
        <w:t>revious year</w:t>
      </w:r>
      <w:r w:rsidR="00B27D62" w:rsidRPr="008B0146">
        <w:rPr>
          <w:sz w:val="22"/>
          <w:szCs w:val="22"/>
        </w:rPr>
        <w:t>’s</w:t>
      </w:r>
      <w:r w:rsidRPr="008B0146">
        <w:rPr>
          <w:sz w:val="22"/>
          <w:szCs w:val="22"/>
        </w:rPr>
        <w:t xml:space="preserve"> activities. </w:t>
      </w:r>
    </w:p>
    <w:p w:rsidR="00661AAD" w:rsidRPr="007F1AA7" w:rsidRDefault="00661AAD" w:rsidP="00661AAD">
      <w:pPr>
        <w:ind w:left="864"/>
      </w:pPr>
    </w:p>
    <w:p w:rsidR="0098665D" w:rsidRPr="007F1AA7" w:rsidRDefault="00E138DB" w:rsidP="00E2211D">
      <w:pPr>
        <w:numPr>
          <w:ilvl w:val="0"/>
          <w:numId w:val="2"/>
        </w:numPr>
        <w:rPr>
          <w:b/>
        </w:rPr>
      </w:pPr>
      <w:r w:rsidRPr="007F1AA7">
        <w:rPr>
          <w:b/>
        </w:rPr>
        <w:t xml:space="preserve">Contact </w:t>
      </w:r>
      <w:r w:rsidR="008B0146">
        <w:rPr>
          <w:b/>
        </w:rPr>
        <w:t>Information</w:t>
      </w:r>
    </w:p>
    <w:p w:rsidR="008B0146" w:rsidRPr="00956845" w:rsidRDefault="00647A50" w:rsidP="0098665D">
      <w:pPr>
        <w:ind w:left="864"/>
        <w:rPr>
          <w:sz w:val="22"/>
          <w:szCs w:val="22"/>
        </w:rPr>
      </w:pPr>
      <w:r w:rsidRPr="00956845">
        <w:rPr>
          <w:sz w:val="22"/>
          <w:szCs w:val="22"/>
        </w:rPr>
        <w:t>Stephanie Johnston</w:t>
      </w:r>
      <w:r w:rsidR="008B0146" w:rsidRPr="00956845">
        <w:rPr>
          <w:sz w:val="22"/>
          <w:szCs w:val="22"/>
        </w:rPr>
        <w:t>, Program Manager</w:t>
      </w:r>
    </w:p>
    <w:p w:rsidR="008B0146" w:rsidRPr="00956845" w:rsidRDefault="008B0146" w:rsidP="0098665D">
      <w:pPr>
        <w:ind w:left="864"/>
        <w:rPr>
          <w:sz w:val="22"/>
          <w:szCs w:val="22"/>
        </w:rPr>
      </w:pPr>
      <w:r w:rsidRPr="00956845">
        <w:rPr>
          <w:sz w:val="22"/>
          <w:szCs w:val="22"/>
        </w:rPr>
        <w:t>Food and Nutrition Services Bureau/Income Support Division</w:t>
      </w:r>
    </w:p>
    <w:p w:rsidR="0098665D" w:rsidRPr="00956845" w:rsidRDefault="008B0146" w:rsidP="0098665D">
      <w:pPr>
        <w:ind w:left="864"/>
        <w:rPr>
          <w:sz w:val="22"/>
          <w:szCs w:val="22"/>
        </w:rPr>
      </w:pPr>
      <w:r w:rsidRPr="00956845">
        <w:rPr>
          <w:sz w:val="22"/>
          <w:szCs w:val="22"/>
        </w:rPr>
        <w:t>Phone:</w:t>
      </w:r>
      <w:r w:rsidR="005A46A9" w:rsidRPr="00956845">
        <w:rPr>
          <w:sz w:val="22"/>
          <w:szCs w:val="22"/>
        </w:rPr>
        <w:t xml:space="preserve"> </w:t>
      </w:r>
      <w:r w:rsidRPr="00956845">
        <w:rPr>
          <w:sz w:val="22"/>
          <w:szCs w:val="22"/>
        </w:rPr>
        <w:t>(</w:t>
      </w:r>
      <w:r w:rsidR="005A46A9" w:rsidRPr="00956845">
        <w:rPr>
          <w:sz w:val="22"/>
          <w:szCs w:val="22"/>
        </w:rPr>
        <w:t>505</w:t>
      </w:r>
      <w:r w:rsidRPr="00956845">
        <w:rPr>
          <w:sz w:val="22"/>
          <w:szCs w:val="22"/>
        </w:rPr>
        <w:t xml:space="preserve">) </w:t>
      </w:r>
      <w:r w:rsidR="005A46A9" w:rsidRPr="00956845">
        <w:rPr>
          <w:sz w:val="22"/>
          <w:szCs w:val="22"/>
        </w:rPr>
        <w:t>841-2690</w:t>
      </w:r>
    </w:p>
    <w:p w:rsidR="008B0146" w:rsidRPr="00956845" w:rsidRDefault="008B0146" w:rsidP="0098665D">
      <w:pPr>
        <w:ind w:left="864"/>
        <w:rPr>
          <w:sz w:val="22"/>
          <w:szCs w:val="22"/>
        </w:rPr>
      </w:pPr>
      <w:r w:rsidRPr="00956845">
        <w:rPr>
          <w:sz w:val="22"/>
          <w:szCs w:val="22"/>
        </w:rPr>
        <w:t>Fax: (505) 841-2691</w:t>
      </w:r>
    </w:p>
    <w:p w:rsidR="0098665D" w:rsidRPr="00956845" w:rsidRDefault="008B0146" w:rsidP="0098665D">
      <w:pPr>
        <w:ind w:left="864"/>
        <w:rPr>
          <w:sz w:val="22"/>
          <w:szCs w:val="22"/>
        </w:rPr>
      </w:pPr>
      <w:r w:rsidRPr="00956845">
        <w:rPr>
          <w:sz w:val="22"/>
          <w:szCs w:val="22"/>
        </w:rPr>
        <w:t xml:space="preserve">Email: </w:t>
      </w:r>
      <w:r w:rsidR="00647A50" w:rsidRPr="00956845">
        <w:rPr>
          <w:sz w:val="22"/>
          <w:szCs w:val="22"/>
        </w:rPr>
        <w:t>stephanie.johnston@state.nm.us</w:t>
      </w:r>
      <w:r w:rsidR="00E138DB" w:rsidRPr="00956845">
        <w:rPr>
          <w:sz w:val="22"/>
          <w:szCs w:val="22"/>
        </w:rPr>
        <w:t xml:space="preserve"> </w:t>
      </w:r>
    </w:p>
    <w:sectPr w:rsidR="0098665D" w:rsidRPr="00956845" w:rsidSect="00956845">
      <w:footerReference w:type="default" r:id="rId9"/>
      <w:pgSz w:w="12240" w:h="15840"/>
      <w:pgMar w:top="720" w:right="720" w:bottom="720" w:left="720" w:header="720" w:footer="7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9A" w:rsidRDefault="00EB7F9A">
      <w:r>
        <w:separator/>
      </w:r>
    </w:p>
  </w:endnote>
  <w:endnote w:type="continuationSeparator" w:id="0">
    <w:p w:rsidR="00EB7F9A" w:rsidRDefault="00E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DB" w:rsidRPr="00F44545" w:rsidRDefault="00E138DB">
    <w:pPr>
      <w:pStyle w:val="Footer"/>
      <w:rPr>
        <w:sz w:val="20"/>
        <w:szCs w:val="20"/>
      </w:rPr>
    </w:pPr>
    <w:r w:rsidRPr="00F44545">
      <w:rPr>
        <w:sz w:val="20"/>
        <w:szCs w:val="20"/>
      </w:rPr>
      <w:t xml:space="preserve">SNAP-Ed Fact Sheet </w:t>
    </w:r>
    <w:r w:rsidR="00956845">
      <w:rPr>
        <w:sz w:val="20"/>
        <w:szCs w:val="20"/>
      </w:rPr>
      <w:t xml:space="preserve">updated </w:t>
    </w:r>
    <w:r w:rsidR="002E13A0">
      <w:rPr>
        <w:sz w:val="20"/>
        <w:szCs w:val="20"/>
      </w:rPr>
      <w:t>01/14/14</w:t>
    </w:r>
    <w:r w:rsidRPr="00F44545">
      <w:rPr>
        <w:sz w:val="20"/>
        <w:szCs w:val="20"/>
      </w:rPr>
      <w:tab/>
    </w:r>
    <w:r w:rsidRPr="00F44545">
      <w:rPr>
        <w:sz w:val="20"/>
        <w:szCs w:val="20"/>
      </w:rPr>
      <w:tab/>
    </w:r>
    <w:r w:rsidR="00F44545">
      <w:rPr>
        <w:sz w:val="20"/>
        <w:szCs w:val="20"/>
      </w:rPr>
      <w:t xml:space="preserve">  </w:t>
    </w:r>
    <w:r w:rsidR="00F44545">
      <w:rPr>
        <w:sz w:val="20"/>
        <w:szCs w:val="20"/>
      </w:rPr>
      <w:tab/>
    </w:r>
    <w:r w:rsidRPr="00F44545">
      <w:rPr>
        <w:sz w:val="20"/>
        <w:szCs w:val="20"/>
      </w:rPr>
      <w:t xml:space="preserve">Page </w:t>
    </w:r>
    <w:r w:rsidR="0056600D" w:rsidRPr="00F44545">
      <w:rPr>
        <w:rStyle w:val="PageNumber"/>
        <w:sz w:val="20"/>
        <w:szCs w:val="20"/>
      </w:rPr>
      <w:fldChar w:fldCharType="begin"/>
    </w:r>
    <w:r w:rsidRPr="00F44545">
      <w:rPr>
        <w:rStyle w:val="PageNumber"/>
        <w:sz w:val="20"/>
        <w:szCs w:val="20"/>
      </w:rPr>
      <w:instrText xml:space="preserve"> PAGE </w:instrText>
    </w:r>
    <w:r w:rsidR="0056600D" w:rsidRPr="00F44545">
      <w:rPr>
        <w:rStyle w:val="PageNumber"/>
        <w:sz w:val="20"/>
        <w:szCs w:val="20"/>
      </w:rPr>
      <w:fldChar w:fldCharType="separate"/>
    </w:r>
    <w:r w:rsidR="002E13A0">
      <w:rPr>
        <w:rStyle w:val="PageNumber"/>
        <w:noProof/>
        <w:sz w:val="20"/>
        <w:szCs w:val="20"/>
      </w:rPr>
      <w:t>1</w:t>
    </w:r>
    <w:r w:rsidR="0056600D" w:rsidRPr="00F44545">
      <w:rPr>
        <w:rStyle w:val="PageNumber"/>
        <w:sz w:val="20"/>
        <w:szCs w:val="20"/>
      </w:rPr>
      <w:fldChar w:fldCharType="end"/>
    </w:r>
    <w:r w:rsidRPr="00F44545">
      <w:rPr>
        <w:rStyle w:val="PageNumber"/>
        <w:sz w:val="20"/>
        <w:szCs w:val="20"/>
      </w:rPr>
      <w:t xml:space="preserve"> of </w:t>
    </w:r>
    <w:r w:rsidR="0056600D" w:rsidRPr="00F44545">
      <w:rPr>
        <w:rStyle w:val="PageNumber"/>
        <w:sz w:val="20"/>
        <w:szCs w:val="20"/>
      </w:rPr>
      <w:fldChar w:fldCharType="begin"/>
    </w:r>
    <w:r w:rsidRPr="00F44545">
      <w:rPr>
        <w:rStyle w:val="PageNumber"/>
        <w:sz w:val="20"/>
        <w:szCs w:val="20"/>
      </w:rPr>
      <w:instrText xml:space="preserve"> NUMPAGES </w:instrText>
    </w:r>
    <w:r w:rsidR="0056600D" w:rsidRPr="00F44545">
      <w:rPr>
        <w:rStyle w:val="PageNumber"/>
        <w:sz w:val="20"/>
        <w:szCs w:val="20"/>
      </w:rPr>
      <w:fldChar w:fldCharType="separate"/>
    </w:r>
    <w:r w:rsidR="002E13A0">
      <w:rPr>
        <w:rStyle w:val="PageNumber"/>
        <w:noProof/>
        <w:sz w:val="20"/>
        <w:szCs w:val="20"/>
      </w:rPr>
      <w:t>2</w:t>
    </w:r>
    <w:r w:rsidR="0056600D" w:rsidRPr="00F44545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9A" w:rsidRDefault="00EB7F9A">
      <w:r>
        <w:separator/>
      </w:r>
    </w:p>
  </w:footnote>
  <w:footnote w:type="continuationSeparator" w:id="0">
    <w:p w:rsidR="00EB7F9A" w:rsidRDefault="00E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7F"/>
    <w:multiLevelType w:val="hybridMultilevel"/>
    <w:tmpl w:val="74B0F260"/>
    <w:lvl w:ilvl="0" w:tplc="6B841416">
      <w:start w:val="1"/>
      <w:numFmt w:val="bullet"/>
      <w:lvlText w:val="►"/>
      <w:lvlJc w:val="left"/>
      <w:pPr>
        <w:ind w:left="162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2940504"/>
    <w:multiLevelType w:val="hybridMultilevel"/>
    <w:tmpl w:val="3572D4B8"/>
    <w:lvl w:ilvl="0" w:tplc="0F8E05DC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2">
    <w:nsid w:val="0F112114"/>
    <w:multiLevelType w:val="hybridMultilevel"/>
    <w:tmpl w:val="58E0F09E"/>
    <w:lvl w:ilvl="0" w:tplc="090C830E">
      <w:start w:val="3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3">
    <w:nsid w:val="1C186847"/>
    <w:multiLevelType w:val="hybridMultilevel"/>
    <w:tmpl w:val="54943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B841416">
      <w:start w:val="1"/>
      <w:numFmt w:val="bullet"/>
      <w:lvlText w:val="►"/>
      <w:lvlJc w:val="left"/>
      <w:pPr>
        <w:ind w:left="1440" w:hanging="360"/>
      </w:pPr>
      <w:rPr>
        <w:rFonts w:ascii="Book Antiqua" w:hAnsi="Book Antiqua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174C"/>
    <w:multiLevelType w:val="hybridMultilevel"/>
    <w:tmpl w:val="E1D4122E"/>
    <w:lvl w:ilvl="0" w:tplc="6B841416">
      <w:start w:val="1"/>
      <w:numFmt w:val="bullet"/>
      <w:lvlText w:val="►"/>
      <w:lvlJc w:val="left"/>
      <w:pPr>
        <w:ind w:left="2304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5">
    <w:nsid w:val="2C433A1F"/>
    <w:multiLevelType w:val="hybridMultilevel"/>
    <w:tmpl w:val="448AF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FA4262"/>
    <w:multiLevelType w:val="hybridMultilevel"/>
    <w:tmpl w:val="EBE2B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84141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82243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D232B1"/>
    <w:multiLevelType w:val="hybridMultilevel"/>
    <w:tmpl w:val="B608FCFE"/>
    <w:lvl w:ilvl="0" w:tplc="090C830E">
      <w:start w:val="3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6B841416">
      <w:start w:val="1"/>
      <w:numFmt w:val="bullet"/>
      <w:lvlText w:val="►"/>
      <w:lvlJc w:val="left"/>
      <w:pPr>
        <w:tabs>
          <w:tab w:val="num" w:pos="1584"/>
        </w:tabs>
        <w:ind w:left="1584" w:hanging="360"/>
      </w:pPr>
      <w:rPr>
        <w:rFonts w:ascii="Book Antiqua" w:hAnsi="Book Antiqua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8">
    <w:nsid w:val="65F70428"/>
    <w:multiLevelType w:val="hybridMultilevel"/>
    <w:tmpl w:val="612EB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84141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54"/>
    <w:rsid w:val="00001073"/>
    <w:rsid w:val="000173A2"/>
    <w:rsid w:val="00022A6A"/>
    <w:rsid w:val="000315DD"/>
    <w:rsid w:val="00031F81"/>
    <w:rsid w:val="00032080"/>
    <w:rsid w:val="00032157"/>
    <w:rsid w:val="00036E55"/>
    <w:rsid w:val="000401E8"/>
    <w:rsid w:val="000442D1"/>
    <w:rsid w:val="00045464"/>
    <w:rsid w:val="00047000"/>
    <w:rsid w:val="00061EEE"/>
    <w:rsid w:val="00066028"/>
    <w:rsid w:val="000707F5"/>
    <w:rsid w:val="00082D82"/>
    <w:rsid w:val="00097797"/>
    <w:rsid w:val="000A6AF6"/>
    <w:rsid w:val="000B6150"/>
    <w:rsid w:val="000E2FC5"/>
    <w:rsid w:val="000E407B"/>
    <w:rsid w:val="000E52BC"/>
    <w:rsid w:val="000F6B11"/>
    <w:rsid w:val="000F7B6F"/>
    <w:rsid w:val="00107279"/>
    <w:rsid w:val="00111347"/>
    <w:rsid w:val="00122CA5"/>
    <w:rsid w:val="00127494"/>
    <w:rsid w:val="001359A3"/>
    <w:rsid w:val="001459E2"/>
    <w:rsid w:val="00165DC4"/>
    <w:rsid w:val="00167A78"/>
    <w:rsid w:val="001816D2"/>
    <w:rsid w:val="0019581D"/>
    <w:rsid w:val="001A5346"/>
    <w:rsid w:val="001C141B"/>
    <w:rsid w:val="001C37F0"/>
    <w:rsid w:val="001C42C2"/>
    <w:rsid w:val="001E12D0"/>
    <w:rsid w:val="001E33FB"/>
    <w:rsid w:val="001F0A5F"/>
    <w:rsid w:val="00200062"/>
    <w:rsid w:val="0020317B"/>
    <w:rsid w:val="00206CBF"/>
    <w:rsid w:val="0021260C"/>
    <w:rsid w:val="00215D8A"/>
    <w:rsid w:val="002251F6"/>
    <w:rsid w:val="00226FF9"/>
    <w:rsid w:val="002303E8"/>
    <w:rsid w:val="00234A72"/>
    <w:rsid w:val="00245F55"/>
    <w:rsid w:val="002525E4"/>
    <w:rsid w:val="002574FD"/>
    <w:rsid w:val="00273234"/>
    <w:rsid w:val="00276F4D"/>
    <w:rsid w:val="002A66C5"/>
    <w:rsid w:val="002D56F4"/>
    <w:rsid w:val="002E13A0"/>
    <w:rsid w:val="002E40CB"/>
    <w:rsid w:val="002F5FE9"/>
    <w:rsid w:val="003076D8"/>
    <w:rsid w:val="00323A3A"/>
    <w:rsid w:val="00333C7A"/>
    <w:rsid w:val="003350DA"/>
    <w:rsid w:val="00351D6B"/>
    <w:rsid w:val="00352EF0"/>
    <w:rsid w:val="00354348"/>
    <w:rsid w:val="00354392"/>
    <w:rsid w:val="00355F3E"/>
    <w:rsid w:val="003573D7"/>
    <w:rsid w:val="003765ED"/>
    <w:rsid w:val="00376CB9"/>
    <w:rsid w:val="00377DB2"/>
    <w:rsid w:val="003827F0"/>
    <w:rsid w:val="0038647E"/>
    <w:rsid w:val="00391C32"/>
    <w:rsid w:val="003A26EB"/>
    <w:rsid w:val="003D32CE"/>
    <w:rsid w:val="003D550C"/>
    <w:rsid w:val="003D674D"/>
    <w:rsid w:val="003E3454"/>
    <w:rsid w:val="003E6F67"/>
    <w:rsid w:val="004019C7"/>
    <w:rsid w:val="0040285C"/>
    <w:rsid w:val="00406482"/>
    <w:rsid w:val="00411110"/>
    <w:rsid w:val="0043283B"/>
    <w:rsid w:val="004328BE"/>
    <w:rsid w:val="004441E1"/>
    <w:rsid w:val="0046462B"/>
    <w:rsid w:val="00467153"/>
    <w:rsid w:val="00476E63"/>
    <w:rsid w:val="004A74BF"/>
    <w:rsid w:val="004D0582"/>
    <w:rsid w:val="004E3F93"/>
    <w:rsid w:val="005103A3"/>
    <w:rsid w:val="00517CEA"/>
    <w:rsid w:val="0053112A"/>
    <w:rsid w:val="00533CCF"/>
    <w:rsid w:val="005345AB"/>
    <w:rsid w:val="005366FC"/>
    <w:rsid w:val="00542D10"/>
    <w:rsid w:val="00544468"/>
    <w:rsid w:val="00545F2B"/>
    <w:rsid w:val="00553C16"/>
    <w:rsid w:val="0056600D"/>
    <w:rsid w:val="005844A1"/>
    <w:rsid w:val="005851AF"/>
    <w:rsid w:val="005A2A01"/>
    <w:rsid w:val="005A46A9"/>
    <w:rsid w:val="005A5052"/>
    <w:rsid w:val="005A57AB"/>
    <w:rsid w:val="005A7677"/>
    <w:rsid w:val="005C3859"/>
    <w:rsid w:val="005D01B7"/>
    <w:rsid w:val="005D0804"/>
    <w:rsid w:val="005D54C9"/>
    <w:rsid w:val="005E0858"/>
    <w:rsid w:val="005F19E3"/>
    <w:rsid w:val="00601E58"/>
    <w:rsid w:val="00603678"/>
    <w:rsid w:val="00604538"/>
    <w:rsid w:val="0061252A"/>
    <w:rsid w:val="00620003"/>
    <w:rsid w:val="00647A50"/>
    <w:rsid w:val="00661AAD"/>
    <w:rsid w:val="00671EE4"/>
    <w:rsid w:val="00672E15"/>
    <w:rsid w:val="006772B8"/>
    <w:rsid w:val="006776C3"/>
    <w:rsid w:val="00677CA1"/>
    <w:rsid w:val="006A3476"/>
    <w:rsid w:val="006B1DBA"/>
    <w:rsid w:val="006B6D5B"/>
    <w:rsid w:val="006B7B29"/>
    <w:rsid w:val="006D01B4"/>
    <w:rsid w:val="006F14B0"/>
    <w:rsid w:val="006F3E25"/>
    <w:rsid w:val="006F527D"/>
    <w:rsid w:val="007022FC"/>
    <w:rsid w:val="007103D9"/>
    <w:rsid w:val="00710F2C"/>
    <w:rsid w:val="00714C9F"/>
    <w:rsid w:val="0072328F"/>
    <w:rsid w:val="00745D51"/>
    <w:rsid w:val="00747F4C"/>
    <w:rsid w:val="00761508"/>
    <w:rsid w:val="00766AFC"/>
    <w:rsid w:val="007714FF"/>
    <w:rsid w:val="00773725"/>
    <w:rsid w:val="00773B14"/>
    <w:rsid w:val="007806E5"/>
    <w:rsid w:val="00783596"/>
    <w:rsid w:val="007A7F97"/>
    <w:rsid w:val="007B3674"/>
    <w:rsid w:val="007C5E87"/>
    <w:rsid w:val="007E0BB2"/>
    <w:rsid w:val="007F1AA7"/>
    <w:rsid w:val="007F467E"/>
    <w:rsid w:val="00800EC7"/>
    <w:rsid w:val="008010A7"/>
    <w:rsid w:val="00806721"/>
    <w:rsid w:val="008152A2"/>
    <w:rsid w:val="00817500"/>
    <w:rsid w:val="00823EE8"/>
    <w:rsid w:val="00824B90"/>
    <w:rsid w:val="0082615D"/>
    <w:rsid w:val="00855B9D"/>
    <w:rsid w:val="00860696"/>
    <w:rsid w:val="00860F30"/>
    <w:rsid w:val="00861609"/>
    <w:rsid w:val="0086535E"/>
    <w:rsid w:val="00870E39"/>
    <w:rsid w:val="008804D3"/>
    <w:rsid w:val="00886B91"/>
    <w:rsid w:val="00891DCD"/>
    <w:rsid w:val="0089316C"/>
    <w:rsid w:val="008B0146"/>
    <w:rsid w:val="008B252A"/>
    <w:rsid w:val="008C6D51"/>
    <w:rsid w:val="008D0A97"/>
    <w:rsid w:val="008E3D7A"/>
    <w:rsid w:val="00904C72"/>
    <w:rsid w:val="00911E28"/>
    <w:rsid w:val="009146D1"/>
    <w:rsid w:val="00920430"/>
    <w:rsid w:val="00920480"/>
    <w:rsid w:val="0092462F"/>
    <w:rsid w:val="009326EC"/>
    <w:rsid w:val="009437FE"/>
    <w:rsid w:val="0095236A"/>
    <w:rsid w:val="00956845"/>
    <w:rsid w:val="00957C40"/>
    <w:rsid w:val="00984FBB"/>
    <w:rsid w:val="0098665D"/>
    <w:rsid w:val="009910A5"/>
    <w:rsid w:val="009B453C"/>
    <w:rsid w:val="009B4559"/>
    <w:rsid w:val="009D0C45"/>
    <w:rsid w:val="009D5FE7"/>
    <w:rsid w:val="009D6BC7"/>
    <w:rsid w:val="009F4405"/>
    <w:rsid w:val="00A05132"/>
    <w:rsid w:val="00A10B3D"/>
    <w:rsid w:val="00A176ED"/>
    <w:rsid w:val="00A23DA7"/>
    <w:rsid w:val="00A36C67"/>
    <w:rsid w:val="00A423CF"/>
    <w:rsid w:val="00A9107A"/>
    <w:rsid w:val="00A942EC"/>
    <w:rsid w:val="00AB0AF7"/>
    <w:rsid w:val="00AB724D"/>
    <w:rsid w:val="00AC1391"/>
    <w:rsid w:val="00AD5C56"/>
    <w:rsid w:val="00AE3A50"/>
    <w:rsid w:val="00AE5EC7"/>
    <w:rsid w:val="00AF489D"/>
    <w:rsid w:val="00B00054"/>
    <w:rsid w:val="00B048E1"/>
    <w:rsid w:val="00B2278A"/>
    <w:rsid w:val="00B27D62"/>
    <w:rsid w:val="00B309A2"/>
    <w:rsid w:val="00B3105B"/>
    <w:rsid w:val="00B33798"/>
    <w:rsid w:val="00B33A7E"/>
    <w:rsid w:val="00B5293E"/>
    <w:rsid w:val="00B53F16"/>
    <w:rsid w:val="00B542D6"/>
    <w:rsid w:val="00B630ED"/>
    <w:rsid w:val="00B67B7A"/>
    <w:rsid w:val="00B779ED"/>
    <w:rsid w:val="00B9390A"/>
    <w:rsid w:val="00BA0F11"/>
    <w:rsid w:val="00BD7CF9"/>
    <w:rsid w:val="00BE5593"/>
    <w:rsid w:val="00BE7CAC"/>
    <w:rsid w:val="00BF472E"/>
    <w:rsid w:val="00BF7E56"/>
    <w:rsid w:val="00C12EE3"/>
    <w:rsid w:val="00C2792D"/>
    <w:rsid w:val="00C35220"/>
    <w:rsid w:val="00C472A0"/>
    <w:rsid w:val="00C556F4"/>
    <w:rsid w:val="00C61278"/>
    <w:rsid w:val="00C81D34"/>
    <w:rsid w:val="00C83418"/>
    <w:rsid w:val="00C90DE5"/>
    <w:rsid w:val="00CA7F5C"/>
    <w:rsid w:val="00CB211E"/>
    <w:rsid w:val="00CB65B8"/>
    <w:rsid w:val="00CE5941"/>
    <w:rsid w:val="00CF7060"/>
    <w:rsid w:val="00D006AA"/>
    <w:rsid w:val="00D03692"/>
    <w:rsid w:val="00D21F36"/>
    <w:rsid w:val="00D54E7B"/>
    <w:rsid w:val="00D6294A"/>
    <w:rsid w:val="00D631B8"/>
    <w:rsid w:val="00D643A8"/>
    <w:rsid w:val="00D849A3"/>
    <w:rsid w:val="00D91133"/>
    <w:rsid w:val="00DA2420"/>
    <w:rsid w:val="00DB3315"/>
    <w:rsid w:val="00DC5F3E"/>
    <w:rsid w:val="00DE3E2D"/>
    <w:rsid w:val="00DF4C4F"/>
    <w:rsid w:val="00DF4E4E"/>
    <w:rsid w:val="00E028C2"/>
    <w:rsid w:val="00E138DB"/>
    <w:rsid w:val="00E1508D"/>
    <w:rsid w:val="00E2211D"/>
    <w:rsid w:val="00E24CD7"/>
    <w:rsid w:val="00E3533D"/>
    <w:rsid w:val="00E4123A"/>
    <w:rsid w:val="00E52832"/>
    <w:rsid w:val="00E53409"/>
    <w:rsid w:val="00E60E0F"/>
    <w:rsid w:val="00E64DD9"/>
    <w:rsid w:val="00E665BF"/>
    <w:rsid w:val="00E670CA"/>
    <w:rsid w:val="00E832D0"/>
    <w:rsid w:val="00E93060"/>
    <w:rsid w:val="00E93DF8"/>
    <w:rsid w:val="00EA7B1B"/>
    <w:rsid w:val="00EB7F9A"/>
    <w:rsid w:val="00EC568D"/>
    <w:rsid w:val="00EF0AD6"/>
    <w:rsid w:val="00EF3618"/>
    <w:rsid w:val="00F036FB"/>
    <w:rsid w:val="00F118FF"/>
    <w:rsid w:val="00F2019B"/>
    <w:rsid w:val="00F21B4B"/>
    <w:rsid w:val="00F24939"/>
    <w:rsid w:val="00F34E5B"/>
    <w:rsid w:val="00F40A4F"/>
    <w:rsid w:val="00F44545"/>
    <w:rsid w:val="00F53178"/>
    <w:rsid w:val="00F562A0"/>
    <w:rsid w:val="00F5677D"/>
    <w:rsid w:val="00F675CE"/>
    <w:rsid w:val="00F70101"/>
    <w:rsid w:val="00F71685"/>
    <w:rsid w:val="00F76BBD"/>
    <w:rsid w:val="00F777C1"/>
    <w:rsid w:val="00F923BD"/>
    <w:rsid w:val="00FB0713"/>
    <w:rsid w:val="00FC5A0B"/>
    <w:rsid w:val="00FC7F1B"/>
    <w:rsid w:val="00FE36F6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37F0"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25E4"/>
    <w:rPr>
      <w:rFonts w:ascii="Cambria" w:hAnsi="Cambria" w:cs="Times New Roman"/>
      <w:b/>
      <w:bCs/>
      <w:i/>
      <w:iCs/>
      <w:sz w:val="28"/>
      <w:szCs w:val="28"/>
    </w:rPr>
  </w:style>
  <w:style w:type="character" w:styleId="HTMLAcronym">
    <w:name w:val="HTML Acronym"/>
    <w:basedOn w:val="DefaultParagraphFont"/>
    <w:uiPriority w:val="99"/>
    <w:rsid w:val="00B00054"/>
    <w:rPr>
      <w:rFonts w:cs="Times New Roman"/>
    </w:rPr>
  </w:style>
  <w:style w:type="table" w:styleId="TableGrid">
    <w:name w:val="Table Grid"/>
    <w:basedOn w:val="TableNormal"/>
    <w:uiPriority w:val="99"/>
    <w:rsid w:val="006772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817500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NormalBold">
    <w:name w:val="2Normal + Bold"/>
    <w:basedOn w:val="Normal"/>
    <w:uiPriority w:val="99"/>
    <w:rsid w:val="001C37F0"/>
    <w:pPr>
      <w:tabs>
        <w:tab w:val="num" w:pos="720"/>
      </w:tabs>
      <w:ind w:left="720" w:hanging="360"/>
    </w:pPr>
    <w:rPr>
      <w:b/>
    </w:rPr>
  </w:style>
  <w:style w:type="paragraph" w:styleId="BodyText">
    <w:name w:val="Body Text"/>
    <w:basedOn w:val="Normal"/>
    <w:link w:val="BodyTextChar"/>
    <w:uiPriority w:val="99"/>
    <w:rsid w:val="001C37F0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5E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36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5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E36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5E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E3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5E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21B4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7806E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661A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F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37F0"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25E4"/>
    <w:rPr>
      <w:rFonts w:ascii="Cambria" w:hAnsi="Cambria" w:cs="Times New Roman"/>
      <w:b/>
      <w:bCs/>
      <w:i/>
      <w:iCs/>
      <w:sz w:val="28"/>
      <w:szCs w:val="28"/>
    </w:rPr>
  </w:style>
  <w:style w:type="character" w:styleId="HTMLAcronym">
    <w:name w:val="HTML Acronym"/>
    <w:basedOn w:val="DefaultParagraphFont"/>
    <w:uiPriority w:val="99"/>
    <w:rsid w:val="00B00054"/>
    <w:rPr>
      <w:rFonts w:cs="Times New Roman"/>
    </w:rPr>
  </w:style>
  <w:style w:type="table" w:styleId="TableGrid">
    <w:name w:val="Table Grid"/>
    <w:basedOn w:val="TableNormal"/>
    <w:uiPriority w:val="99"/>
    <w:rsid w:val="006772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817500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NormalBold">
    <w:name w:val="2Normal + Bold"/>
    <w:basedOn w:val="Normal"/>
    <w:uiPriority w:val="99"/>
    <w:rsid w:val="001C37F0"/>
    <w:pPr>
      <w:tabs>
        <w:tab w:val="num" w:pos="720"/>
      </w:tabs>
      <w:ind w:left="720" w:hanging="360"/>
    </w:pPr>
    <w:rPr>
      <w:b/>
    </w:rPr>
  </w:style>
  <w:style w:type="paragraph" w:styleId="BodyText">
    <w:name w:val="Body Text"/>
    <w:basedOn w:val="Normal"/>
    <w:link w:val="BodyTextChar"/>
    <w:uiPriority w:val="99"/>
    <w:rsid w:val="001C37F0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5E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36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5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E36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5E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E3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5E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21B4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7806E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661A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946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4" w:color="003366"/>
            <w:right w:val="single" w:sz="6" w:space="0" w:color="003366"/>
          </w:divBdr>
          <w:divsChild>
            <w:div w:id="500359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949">
                  <w:marLeft w:val="0"/>
                  <w:marRight w:val="0"/>
                  <w:marTop w:val="0"/>
                  <w:marBottom w:val="0"/>
                  <w:divBdr>
                    <w:top w:val="single" w:sz="6" w:space="4" w:color="336699"/>
                    <w:left w:val="single" w:sz="6" w:space="4" w:color="336699"/>
                    <w:bottom w:val="single" w:sz="6" w:space="8" w:color="336699"/>
                    <w:right w:val="single" w:sz="6" w:space="4" w:color="336699"/>
                  </w:divBdr>
                </w:div>
              </w:divsChild>
            </w:div>
          </w:divsChild>
        </w:div>
      </w:divsChild>
    </w:div>
    <w:div w:id="50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General Assistance Program</vt:lpstr>
    </vt:vector>
  </TitlesOfParts>
  <Company>HSD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General Assistance Program</dc:title>
  <dc:creator>Ted Roth</dc:creator>
  <cp:lastModifiedBy>Jonni Lu Pool</cp:lastModifiedBy>
  <cp:revision>3</cp:revision>
  <cp:lastPrinted>2013-12-26T22:47:00Z</cp:lastPrinted>
  <dcterms:created xsi:type="dcterms:W3CDTF">2014-01-14T18:32:00Z</dcterms:created>
  <dcterms:modified xsi:type="dcterms:W3CDTF">2014-01-14T18:36:00Z</dcterms:modified>
</cp:coreProperties>
</file>