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E4" w:rsidRPr="00281968" w:rsidRDefault="00281968" w:rsidP="00EB2DC6">
      <w:pPr>
        <w:jc w:val="center"/>
        <w:rPr>
          <w:b/>
          <w:sz w:val="40"/>
          <w:szCs w:val="40"/>
        </w:rPr>
      </w:pPr>
      <w:r w:rsidRPr="00281968">
        <w:rPr>
          <w:b/>
          <w:noProof/>
          <w:sz w:val="40"/>
          <w:szCs w:val="40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-323215</wp:posOffset>
            </wp:positionV>
            <wp:extent cx="1514475" cy="647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E08A1" w:rsidRPr="00281968">
        <w:rPr>
          <w:b/>
          <w:sz w:val="40"/>
          <w:szCs w:val="40"/>
        </w:rPr>
        <w:t xml:space="preserve">Education </w:t>
      </w:r>
      <w:r w:rsidR="00D03DE8" w:rsidRPr="00281968">
        <w:rPr>
          <w:b/>
          <w:sz w:val="40"/>
          <w:szCs w:val="40"/>
        </w:rPr>
        <w:t xml:space="preserve">Works </w:t>
      </w:r>
      <w:r w:rsidR="00B00054" w:rsidRPr="00281968">
        <w:rPr>
          <w:b/>
          <w:sz w:val="40"/>
          <w:szCs w:val="40"/>
        </w:rPr>
        <w:t>Program</w:t>
      </w:r>
    </w:p>
    <w:p w:rsidR="003350DA" w:rsidRPr="003350DA" w:rsidRDefault="003350DA" w:rsidP="00EB2DC6">
      <w:pPr>
        <w:jc w:val="center"/>
        <w:rPr>
          <w:b/>
          <w:sz w:val="44"/>
          <w:szCs w:val="44"/>
        </w:rPr>
      </w:pPr>
      <w:r w:rsidRPr="00281968">
        <w:rPr>
          <w:b/>
          <w:sz w:val="40"/>
          <w:szCs w:val="40"/>
        </w:rPr>
        <w:t>Fact Sheet</w:t>
      </w:r>
    </w:p>
    <w:p w:rsidR="0068267E" w:rsidRDefault="0068267E" w:rsidP="0068267E">
      <w:pPr>
        <w:ind w:left="360"/>
        <w:rPr>
          <w:b/>
        </w:rPr>
      </w:pPr>
    </w:p>
    <w:p w:rsidR="008065B8" w:rsidRPr="008065B8" w:rsidRDefault="008065B8" w:rsidP="008065B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8065B8">
        <w:rPr>
          <w:b/>
        </w:rPr>
        <w:t>What is t</w:t>
      </w:r>
      <w:r w:rsidR="001A65D1" w:rsidRPr="008065B8">
        <w:rPr>
          <w:b/>
        </w:rPr>
        <w:t>he Education Works Program (EWP)</w:t>
      </w:r>
      <w:r w:rsidRPr="008065B8">
        <w:rPr>
          <w:b/>
        </w:rPr>
        <w:t>?</w:t>
      </w:r>
    </w:p>
    <w:p w:rsidR="008065B8" w:rsidRDefault="008065B8" w:rsidP="008065B8">
      <w:pPr>
        <w:jc w:val="both"/>
        <w:rPr>
          <w:sz w:val="22"/>
          <w:szCs w:val="22"/>
        </w:rPr>
      </w:pPr>
    </w:p>
    <w:p w:rsidR="003459B8" w:rsidRPr="008065B8" w:rsidRDefault="008065B8" w:rsidP="008065B8">
      <w:pPr>
        <w:jc w:val="both"/>
        <w:rPr>
          <w:sz w:val="22"/>
          <w:szCs w:val="22"/>
        </w:rPr>
      </w:pPr>
      <w:r w:rsidRPr="008065B8">
        <w:rPr>
          <w:sz w:val="22"/>
          <w:szCs w:val="22"/>
        </w:rPr>
        <w:t>The</w:t>
      </w:r>
      <w:r w:rsidR="009A1D71">
        <w:rPr>
          <w:sz w:val="22"/>
          <w:szCs w:val="22"/>
        </w:rPr>
        <w:t xml:space="preserve"> Education Works Program (</w:t>
      </w:r>
      <w:proofErr w:type="spellStart"/>
      <w:r w:rsidRPr="008065B8">
        <w:rPr>
          <w:sz w:val="22"/>
          <w:szCs w:val="22"/>
        </w:rPr>
        <w:t>EWP</w:t>
      </w:r>
      <w:proofErr w:type="spellEnd"/>
      <w:r w:rsidR="009A1D71">
        <w:rPr>
          <w:sz w:val="22"/>
          <w:szCs w:val="22"/>
        </w:rPr>
        <w:t>)</w:t>
      </w:r>
      <w:r w:rsidRPr="008065B8">
        <w:rPr>
          <w:sz w:val="22"/>
          <w:szCs w:val="22"/>
        </w:rPr>
        <w:t xml:space="preserve"> </w:t>
      </w:r>
      <w:r w:rsidR="001A65D1" w:rsidRPr="008065B8">
        <w:rPr>
          <w:sz w:val="22"/>
          <w:szCs w:val="22"/>
        </w:rPr>
        <w:t xml:space="preserve">is a </w:t>
      </w:r>
      <w:r w:rsidR="00652C2D">
        <w:rPr>
          <w:sz w:val="22"/>
          <w:szCs w:val="22"/>
        </w:rPr>
        <w:t>state-</w:t>
      </w:r>
      <w:r w:rsidR="005C6B75" w:rsidRPr="008065B8">
        <w:rPr>
          <w:sz w:val="22"/>
          <w:szCs w:val="22"/>
        </w:rPr>
        <w:t>funded program that p</w:t>
      </w:r>
      <w:r w:rsidR="003459B8" w:rsidRPr="008065B8">
        <w:rPr>
          <w:sz w:val="22"/>
          <w:szCs w:val="22"/>
        </w:rPr>
        <w:t xml:space="preserve">rovides </w:t>
      </w:r>
      <w:r w:rsidR="005C6B75" w:rsidRPr="008065B8">
        <w:rPr>
          <w:sz w:val="22"/>
          <w:szCs w:val="22"/>
        </w:rPr>
        <w:t xml:space="preserve">up to 24 months of </w:t>
      </w:r>
      <w:r w:rsidR="003459B8" w:rsidRPr="008065B8">
        <w:rPr>
          <w:sz w:val="22"/>
          <w:szCs w:val="22"/>
        </w:rPr>
        <w:t xml:space="preserve">cash assistance </w:t>
      </w:r>
      <w:r w:rsidR="005C6B75" w:rsidRPr="008065B8">
        <w:rPr>
          <w:sz w:val="22"/>
          <w:szCs w:val="22"/>
        </w:rPr>
        <w:t xml:space="preserve">for needy families so that they may participate in higher education and obtain a degree.  This program was created in December 2000 so that </w:t>
      </w:r>
      <w:r w:rsidR="00CB0E0C" w:rsidRPr="008065B8">
        <w:rPr>
          <w:sz w:val="22"/>
          <w:szCs w:val="22"/>
        </w:rPr>
        <w:t xml:space="preserve">participants could advance and focus on education rather than on meeting work requirements in the </w:t>
      </w:r>
      <w:r w:rsidR="00A62570" w:rsidRPr="008065B8">
        <w:rPr>
          <w:sz w:val="22"/>
          <w:szCs w:val="22"/>
        </w:rPr>
        <w:t xml:space="preserve">federal </w:t>
      </w:r>
      <w:r w:rsidR="005C6B75" w:rsidRPr="008065B8">
        <w:rPr>
          <w:sz w:val="22"/>
          <w:szCs w:val="22"/>
        </w:rPr>
        <w:t xml:space="preserve">Temporary Assistance to Needy Families (TANF) </w:t>
      </w:r>
      <w:r w:rsidR="00A62570" w:rsidRPr="008065B8">
        <w:rPr>
          <w:sz w:val="22"/>
          <w:szCs w:val="22"/>
        </w:rPr>
        <w:t xml:space="preserve">block grant </w:t>
      </w:r>
      <w:r w:rsidR="00CB0E0C" w:rsidRPr="008065B8">
        <w:rPr>
          <w:sz w:val="22"/>
          <w:szCs w:val="22"/>
        </w:rPr>
        <w:t>program.</w:t>
      </w:r>
    </w:p>
    <w:p w:rsidR="001A65D1" w:rsidRPr="00E27FFE" w:rsidRDefault="001A65D1" w:rsidP="001A65D1">
      <w:pPr>
        <w:ind w:left="360"/>
        <w:rPr>
          <w:sz w:val="16"/>
          <w:szCs w:val="16"/>
        </w:rPr>
      </w:pPr>
    </w:p>
    <w:p w:rsidR="008065B8" w:rsidRPr="008065B8" w:rsidRDefault="001A65D1" w:rsidP="008065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8065B8">
        <w:rPr>
          <w:b/>
        </w:rPr>
        <w:t>Funding</w:t>
      </w:r>
    </w:p>
    <w:p w:rsidR="008065B8" w:rsidRPr="008065B8" w:rsidRDefault="008065B8" w:rsidP="008065B8">
      <w:pPr>
        <w:ind w:left="360"/>
        <w:rPr>
          <w:b/>
        </w:rPr>
      </w:pPr>
    </w:p>
    <w:p w:rsidR="001A65D1" w:rsidRPr="00E947E8" w:rsidRDefault="001A65D1" w:rsidP="00CC5835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b/>
          <w:sz w:val="22"/>
          <w:szCs w:val="22"/>
        </w:rPr>
      </w:pPr>
      <w:r w:rsidRPr="00E947E8">
        <w:rPr>
          <w:sz w:val="22"/>
          <w:szCs w:val="22"/>
        </w:rPr>
        <w:t>$</w:t>
      </w:r>
      <w:r w:rsidR="00D93E72" w:rsidRPr="00E947E8">
        <w:rPr>
          <w:sz w:val="22"/>
          <w:szCs w:val="22"/>
        </w:rPr>
        <w:t>1,</w:t>
      </w:r>
      <w:r w:rsidR="00F5553A" w:rsidRPr="00E947E8">
        <w:rPr>
          <w:sz w:val="22"/>
          <w:szCs w:val="22"/>
        </w:rPr>
        <w:t>400</w:t>
      </w:r>
      <w:r w:rsidR="00D93E72" w:rsidRPr="00E947E8">
        <w:rPr>
          <w:sz w:val="22"/>
          <w:szCs w:val="22"/>
        </w:rPr>
        <w:t>,000</w:t>
      </w:r>
      <w:r w:rsidRPr="00E947E8">
        <w:rPr>
          <w:sz w:val="22"/>
          <w:szCs w:val="22"/>
        </w:rPr>
        <w:t xml:space="preserve"> State General Fund </w:t>
      </w:r>
      <w:r w:rsidR="00D93E72" w:rsidRPr="00E947E8">
        <w:rPr>
          <w:sz w:val="22"/>
          <w:szCs w:val="22"/>
        </w:rPr>
        <w:t>for SFY 1</w:t>
      </w:r>
      <w:r w:rsidR="00E947E8">
        <w:rPr>
          <w:sz w:val="22"/>
          <w:szCs w:val="22"/>
        </w:rPr>
        <w:t>4</w:t>
      </w:r>
      <w:r w:rsidR="00D93E72" w:rsidRPr="00E947E8">
        <w:rPr>
          <w:sz w:val="22"/>
          <w:szCs w:val="22"/>
        </w:rPr>
        <w:t>.</w:t>
      </w:r>
    </w:p>
    <w:p w:rsidR="001A65D1" w:rsidRPr="00CC5835" w:rsidRDefault="001A65D1" w:rsidP="00CC5835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b/>
          <w:sz w:val="22"/>
          <w:szCs w:val="22"/>
        </w:rPr>
      </w:pPr>
      <w:r w:rsidRPr="00CC5835">
        <w:rPr>
          <w:sz w:val="22"/>
          <w:szCs w:val="22"/>
        </w:rPr>
        <w:t>Beginning in Federal Fiscal Year 2007</w:t>
      </w:r>
      <w:r w:rsidR="00281968">
        <w:rPr>
          <w:sz w:val="22"/>
          <w:szCs w:val="22"/>
        </w:rPr>
        <w:t>,</w:t>
      </w:r>
      <w:r w:rsidRPr="00CC5835">
        <w:rPr>
          <w:sz w:val="22"/>
          <w:szCs w:val="22"/>
        </w:rPr>
        <w:t xml:space="preserve"> EWP </w:t>
      </w:r>
      <w:r w:rsidR="00B22227" w:rsidRPr="00CC5835">
        <w:rPr>
          <w:sz w:val="22"/>
          <w:szCs w:val="22"/>
        </w:rPr>
        <w:t>has not</w:t>
      </w:r>
      <w:r w:rsidRPr="00CC5835">
        <w:rPr>
          <w:sz w:val="22"/>
          <w:szCs w:val="22"/>
        </w:rPr>
        <w:t xml:space="preserve"> counted toward </w:t>
      </w:r>
      <w:r w:rsidR="00B22227" w:rsidRPr="00CC5835">
        <w:rPr>
          <w:sz w:val="22"/>
          <w:szCs w:val="22"/>
        </w:rPr>
        <w:t xml:space="preserve">TANF </w:t>
      </w:r>
      <w:r w:rsidR="00652C2D">
        <w:rPr>
          <w:sz w:val="22"/>
          <w:szCs w:val="22"/>
        </w:rPr>
        <w:t>Maintenance of Effort (</w:t>
      </w:r>
      <w:r w:rsidRPr="00CC5835">
        <w:rPr>
          <w:sz w:val="22"/>
          <w:szCs w:val="22"/>
        </w:rPr>
        <w:t>MOE</w:t>
      </w:r>
      <w:r w:rsidR="00652C2D">
        <w:rPr>
          <w:sz w:val="22"/>
          <w:szCs w:val="22"/>
        </w:rPr>
        <w:t>)</w:t>
      </w:r>
      <w:r w:rsidRPr="00CC5835">
        <w:rPr>
          <w:sz w:val="22"/>
          <w:szCs w:val="22"/>
        </w:rPr>
        <w:t xml:space="preserve"> </w:t>
      </w:r>
      <w:r w:rsidR="00B22227" w:rsidRPr="00CC5835">
        <w:rPr>
          <w:sz w:val="22"/>
          <w:szCs w:val="22"/>
        </w:rPr>
        <w:t xml:space="preserve">due to the </w:t>
      </w:r>
      <w:r w:rsidRPr="00CC5835">
        <w:rPr>
          <w:sz w:val="22"/>
          <w:szCs w:val="22"/>
        </w:rPr>
        <w:t xml:space="preserve">change in the </w:t>
      </w:r>
      <w:r w:rsidR="00B22227" w:rsidRPr="00CC5835">
        <w:rPr>
          <w:sz w:val="22"/>
          <w:szCs w:val="22"/>
        </w:rPr>
        <w:t xml:space="preserve">2005 </w:t>
      </w:r>
      <w:r w:rsidRPr="00CC5835">
        <w:rPr>
          <w:sz w:val="22"/>
          <w:szCs w:val="22"/>
        </w:rPr>
        <w:t>Deficit Reduction Act (DRA) require</w:t>
      </w:r>
      <w:r w:rsidR="00B22227" w:rsidRPr="00CC5835">
        <w:rPr>
          <w:sz w:val="22"/>
          <w:szCs w:val="22"/>
        </w:rPr>
        <w:t>ment</w:t>
      </w:r>
      <w:r w:rsidRPr="00CC5835">
        <w:rPr>
          <w:sz w:val="22"/>
          <w:szCs w:val="22"/>
        </w:rPr>
        <w:t xml:space="preserve"> that participants receiv</w:t>
      </w:r>
      <w:r w:rsidR="00B22227" w:rsidRPr="00CC5835">
        <w:rPr>
          <w:sz w:val="22"/>
          <w:szCs w:val="22"/>
        </w:rPr>
        <w:t>ing</w:t>
      </w:r>
      <w:r w:rsidRPr="00CC5835">
        <w:rPr>
          <w:sz w:val="22"/>
          <w:szCs w:val="22"/>
        </w:rPr>
        <w:t xml:space="preserve"> state funded MOE cash assistance </w:t>
      </w:r>
      <w:r w:rsidR="00B22227" w:rsidRPr="00CC5835">
        <w:rPr>
          <w:sz w:val="22"/>
          <w:szCs w:val="22"/>
        </w:rPr>
        <w:t xml:space="preserve">must </w:t>
      </w:r>
      <w:r w:rsidRPr="00CC5835">
        <w:rPr>
          <w:sz w:val="22"/>
          <w:szCs w:val="22"/>
        </w:rPr>
        <w:t>be included in the work participation rate calculations</w:t>
      </w:r>
      <w:r w:rsidR="00B22227" w:rsidRPr="00CC5835">
        <w:rPr>
          <w:sz w:val="22"/>
          <w:szCs w:val="22"/>
        </w:rPr>
        <w:t>.</w:t>
      </w:r>
    </w:p>
    <w:p w:rsidR="00F7033F" w:rsidRPr="00E27FFE" w:rsidRDefault="00F7033F" w:rsidP="00F7033F">
      <w:pPr>
        <w:ind w:left="360"/>
        <w:rPr>
          <w:b/>
          <w:sz w:val="16"/>
          <w:szCs w:val="16"/>
        </w:rPr>
      </w:pPr>
    </w:p>
    <w:p w:rsidR="001A65D1" w:rsidRPr="008065B8" w:rsidRDefault="001A65D1" w:rsidP="001A65D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8065B8">
        <w:rPr>
          <w:b/>
        </w:rPr>
        <w:t>Program Elements</w:t>
      </w:r>
    </w:p>
    <w:p w:rsidR="00E27FFE" w:rsidRPr="00E27FFE" w:rsidRDefault="00E27FFE" w:rsidP="00E27FFE">
      <w:pPr>
        <w:ind w:left="360"/>
        <w:rPr>
          <w:b/>
          <w:sz w:val="16"/>
          <w:szCs w:val="16"/>
        </w:rPr>
      </w:pPr>
    </w:p>
    <w:tbl>
      <w:tblPr>
        <w:tblStyle w:val="TableGrid"/>
        <w:tblW w:w="10080" w:type="dxa"/>
        <w:tblInd w:w="-72" w:type="dxa"/>
        <w:tblLook w:val="04A0" w:firstRow="1" w:lastRow="0" w:firstColumn="1" w:lastColumn="0" w:noHBand="0" w:noVBand="1"/>
      </w:tblPr>
      <w:tblGrid>
        <w:gridCol w:w="5503"/>
        <w:gridCol w:w="4577"/>
      </w:tblGrid>
      <w:tr w:rsidR="006134ED" w:rsidRPr="006134ED" w:rsidTr="00F41E36">
        <w:tc>
          <w:tcPr>
            <w:tcW w:w="5503" w:type="dxa"/>
            <w:shd w:val="clear" w:color="auto" w:fill="FBD4B4" w:themeFill="accent6" w:themeFillTint="66"/>
          </w:tcPr>
          <w:p w:rsidR="006134ED" w:rsidRPr="005C5104" w:rsidRDefault="006134ED" w:rsidP="006134ED">
            <w:pPr>
              <w:jc w:val="center"/>
              <w:rPr>
                <w:b/>
                <w:sz w:val="22"/>
                <w:szCs w:val="22"/>
              </w:rPr>
            </w:pPr>
            <w:r w:rsidRPr="005C5104">
              <w:rPr>
                <w:b/>
                <w:sz w:val="22"/>
                <w:szCs w:val="22"/>
              </w:rPr>
              <w:t>Non-Financial Eligibility</w:t>
            </w:r>
          </w:p>
        </w:tc>
        <w:tc>
          <w:tcPr>
            <w:tcW w:w="4577" w:type="dxa"/>
            <w:shd w:val="clear" w:color="auto" w:fill="FBD4B4" w:themeFill="accent6" w:themeFillTint="66"/>
          </w:tcPr>
          <w:p w:rsidR="006134ED" w:rsidRPr="005C5104" w:rsidRDefault="006134ED" w:rsidP="006134ED">
            <w:pPr>
              <w:jc w:val="center"/>
              <w:rPr>
                <w:b/>
                <w:sz w:val="22"/>
                <w:szCs w:val="22"/>
              </w:rPr>
            </w:pPr>
            <w:r w:rsidRPr="005C5104">
              <w:rPr>
                <w:b/>
                <w:sz w:val="22"/>
                <w:szCs w:val="22"/>
              </w:rPr>
              <w:t>Financial Eligibility</w:t>
            </w:r>
          </w:p>
        </w:tc>
      </w:tr>
      <w:tr w:rsidR="006134ED" w:rsidRPr="006134ED" w:rsidTr="00F41E36">
        <w:tc>
          <w:tcPr>
            <w:tcW w:w="5503" w:type="dxa"/>
          </w:tcPr>
          <w:p w:rsidR="00BA7193" w:rsidRPr="00F41E36" w:rsidRDefault="006134ED" w:rsidP="00F41E36">
            <w:pPr>
              <w:rPr>
                <w:sz w:val="22"/>
                <w:szCs w:val="22"/>
              </w:rPr>
            </w:pPr>
            <w:r w:rsidRPr="00F41E36">
              <w:rPr>
                <w:sz w:val="22"/>
                <w:szCs w:val="22"/>
              </w:rPr>
              <w:t>Resident of New Mexico</w:t>
            </w:r>
          </w:p>
        </w:tc>
        <w:tc>
          <w:tcPr>
            <w:tcW w:w="4577" w:type="dxa"/>
          </w:tcPr>
          <w:p w:rsidR="006134ED" w:rsidRPr="005C5104" w:rsidRDefault="006134ED" w:rsidP="0067016E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C5104">
              <w:rPr>
                <w:sz w:val="22"/>
                <w:szCs w:val="22"/>
              </w:rPr>
              <w:t xml:space="preserve">Gross Income </w:t>
            </w:r>
          </w:p>
          <w:p w:rsidR="00BA7193" w:rsidRPr="005C5104" w:rsidRDefault="006134ED" w:rsidP="0067016E">
            <w:pPr>
              <w:numPr>
                <w:ilvl w:val="1"/>
                <w:numId w:val="9"/>
              </w:numPr>
              <w:rPr>
                <w:sz w:val="22"/>
                <w:szCs w:val="22"/>
              </w:rPr>
            </w:pPr>
            <w:r w:rsidRPr="005C5104">
              <w:rPr>
                <w:sz w:val="22"/>
                <w:szCs w:val="22"/>
              </w:rPr>
              <w:t>85% of the Federal Poverty Guideline</w:t>
            </w:r>
          </w:p>
        </w:tc>
      </w:tr>
      <w:tr w:rsidR="008065B8" w:rsidRPr="006134ED" w:rsidTr="00F41E36">
        <w:tc>
          <w:tcPr>
            <w:tcW w:w="5503" w:type="dxa"/>
          </w:tcPr>
          <w:p w:rsidR="008065B8" w:rsidRPr="00F41E36" w:rsidRDefault="008065B8" w:rsidP="00F41E36">
            <w:pPr>
              <w:rPr>
                <w:sz w:val="22"/>
                <w:szCs w:val="22"/>
              </w:rPr>
            </w:pPr>
            <w:r w:rsidRPr="00F41E36">
              <w:rPr>
                <w:sz w:val="22"/>
                <w:szCs w:val="22"/>
              </w:rPr>
              <w:t>U.S. Citizen or Qualified Legal Immigrant</w:t>
            </w:r>
          </w:p>
        </w:tc>
        <w:tc>
          <w:tcPr>
            <w:tcW w:w="4577" w:type="dxa"/>
            <w:vMerge w:val="restart"/>
          </w:tcPr>
          <w:p w:rsidR="008065B8" w:rsidRPr="005C5104" w:rsidRDefault="008065B8" w:rsidP="0067016E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C5104">
              <w:rPr>
                <w:sz w:val="22"/>
                <w:szCs w:val="22"/>
              </w:rPr>
              <w:t>Resources</w:t>
            </w:r>
          </w:p>
          <w:p w:rsidR="008065B8" w:rsidRPr="005C5104" w:rsidRDefault="008065B8" w:rsidP="0067016E">
            <w:pPr>
              <w:numPr>
                <w:ilvl w:val="1"/>
                <w:numId w:val="9"/>
              </w:numPr>
              <w:rPr>
                <w:sz w:val="22"/>
                <w:szCs w:val="22"/>
              </w:rPr>
            </w:pPr>
            <w:r w:rsidRPr="005C5104">
              <w:rPr>
                <w:sz w:val="22"/>
                <w:szCs w:val="22"/>
              </w:rPr>
              <w:t>$1,500 or less in liquid resources, such as a bank account</w:t>
            </w:r>
          </w:p>
          <w:p w:rsidR="008065B8" w:rsidRPr="005C5104" w:rsidRDefault="008065B8" w:rsidP="0067016E">
            <w:pPr>
              <w:numPr>
                <w:ilvl w:val="1"/>
                <w:numId w:val="9"/>
              </w:numPr>
              <w:rPr>
                <w:sz w:val="22"/>
                <w:szCs w:val="22"/>
              </w:rPr>
            </w:pPr>
            <w:r w:rsidRPr="005C5104">
              <w:rPr>
                <w:sz w:val="22"/>
                <w:szCs w:val="22"/>
              </w:rPr>
              <w:t>$2,000 or less in non-liquid resources, such as real property</w:t>
            </w:r>
          </w:p>
        </w:tc>
      </w:tr>
      <w:tr w:rsidR="008065B8" w:rsidRPr="006134ED" w:rsidTr="00F41E36">
        <w:tc>
          <w:tcPr>
            <w:tcW w:w="5503" w:type="dxa"/>
          </w:tcPr>
          <w:p w:rsidR="008065B8" w:rsidRPr="00F41E36" w:rsidRDefault="008065B8" w:rsidP="00F41E36">
            <w:pPr>
              <w:rPr>
                <w:sz w:val="22"/>
                <w:szCs w:val="22"/>
              </w:rPr>
            </w:pPr>
            <w:r w:rsidRPr="00F41E36">
              <w:rPr>
                <w:sz w:val="22"/>
                <w:szCs w:val="22"/>
              </w:rPr>
              <w:t>Full-Time Undergraduate or Graduate Student/Parent with a minimum 2.0 GPA</w:t>
            </w:r>
          </w:p>
        </w:tc>
        <w:tc>
          <w:tcPr>
            <w:tcW w:w="4577" w:type="dxa"/>
            <w:vMerge/>
          </w:tcPr>
          <w:p w:rsidR="008065B8" w:rsidRPr="008065B8" w:rsidRDefault="008065B8" w:rsidP="006134ED">
            <w:pPr>
              <w:rPr>
                <w:sz w:val="22"/>
                <w:szCs w:val="22"/>
              </w:rPr>
            </w:pPr>
          </w:p>
        </w:tc>
      </w:tr>
      <w:tr w:rsidR="008065B8" w:rsidRPr="006134ED" w:rsidTr="00F41E36">
        <w:tc>
          <w:tcPr>
            <w:tcW w:w="5503" w:type="dxa"/>
          </w:tcPr>
          <w:p w:rsidR="008065B8" w:rsidRPr="00F41E36" w:rsidRDefault="008065B8" w:rsidP="00F41E36">
            <w:pPr>
              <w:rPr>
                <w:sz w:val="22"/>
                <w:szCs w:val="22"/>
              </w:rPr>
            </w:pPr>
            <w:r w:rsidRPr="00F41E36">
              <w:rPr>
                <w:sz w:val="22"/>
                <w:szCs w:val="22"/>
              </w:rPr>
              <w:t>Families with Dependent Children</w:t>
            </w:r>
          </w:p>
        </w:tc>
        <w:tc>
          <w:tcPr>
            <w:tcW w:w="4577" w:type="dxa"/>
            <w:vMerge/>
          </w:tcPr>
          <w:p w:rsidR="008065B8" w:rsidRPr="008065B8" w:rsidRDefault="008065B8" w:rsidP="006134ED">
            <w:pPr>
              <w:rPr>
                <w:sz w:val="22"/>
                <w:szCs w:val="22"/>
              </w:rPr>
            </w:pPr>
          </w:p>
        </w:tc>
      </w:tr>
      <w:tr w:rsidR="008065B8" w:rsidRPr="006134ED" w:rsidTr="00F41E36">
        <w:tc>
          <w:tcPr>
            <w:tcW w:w="5503" w:type="dxa"/>
          </w:tcPr>
          <w:p w:rsidR="008065B8" w:rsidRPr="00F41E36" w:rsidRDefault="008065B8" w:rsidP="00F41E36">
            <w:pPr>
              <w:rPr>
                <w:sz w:val="22"/>
                <w:szCs w:val="22"/>
              </w:rPr>
            </w:pPr>
            <w:r w:rsidRPr="00F41E36">
              <w:rPr>
                <w:sz w:val="22"/>
                <w:szCs w:val="22"/>
              </w:rPr>
              <w:t>Social Security Number</w:t>
            </w:r>
          </w:p>
        </w:tc>
        <w:tc>
          <w:tcPr>
            <w:tcW w:w="4577" w:type="dxa"/>
            <w:vMerge/>
          </w:tcPr>
          <w:p w:rsidR="008065B8" w:rsidRPr="006134ED" w:rsidRDefault="008065B8" w:rsidP="006134ED"/>
        </w:tc>
      </w:tr>
    </w:tbl>
    <w:p w:rsidR="00BA7193" w:rsidRPr="00CC5835" w:rsidRDefault="00BA7193" w:rsidP="00CC5835">
      <w:pPr>
        <w:ind w:left="3960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20"/>
        <w:tblW w:w="1135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2160"/>
        <w:gridCol w:w="1890"/>
        <w:gridCol w:w="360"/>
        <w:gridCol w:w="2520"/>
        <w:gridCol w:w="2970"/>
      </w:tblGrid>
      <w:tr w:rsidR="00F5553A" w:rsidRPr="00CC5835" w:rsidTr="00CC5835">
        <w:trPr>
          <w:trHeight w:val="288"/>
        </w:trPr>
        <w:tc>
          <w:tcPr>
            <w:tcW w:w="8388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F5553A" w:rsidRPr="00CC5835" w:rsidRDefault="00F5553A" w:rsidP="00153F6D">
            <w:pPr>
              <w:spacing w:before="120" w:after="120"/>
              <w:ind w:left="3240"/>
              <w:jc w:val="center"/>
              <w:rPr>
                <w:b/>
                <w:sz w:val="22"/>
                <w:szCs w:val="22"/>
              </w:rPr>
            </w:pPr>
            <w:r w:rsidRPr="00F41E36">
              <w:rPr>
                <w:b/>
                <w:sz w:val="22"/>
                <w:szCs w:val="22"/>
              </w:rPr>
              <w:t>201</w:t>
            </w:r>
            <w:r w:rsidR="00153F6D">
              <w:rPr>
                <w:b/>
                <w:sz w:val="22"/>
                <w:szCs w:val="22"/>
              </w:rPr>
              <w:t>3</w:t>
            </w:r>
            <w:r w:rsidRPr="00CC5835">
              <w:rPr>
                <w:b/>
                <w:sz w:val="22"/>
                <w:szCs w:val="22"/>
              </w:rPr>
              <w:t xml:space="preserve"> Monthly Cash Assistance Standards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F5553A" w:rsidRPr="00CC5835" w:rsidRDefault="00F5553A" w:rsidP="00CC5835">
            <w:pPr>
              <w:spacing w:before="120" w:after="120"/>
              <w:ind w:left="3960"/>
              <w:jc w:val="center"/>
              <w:rPr>
                <w:b/>
                <w:sz w:val="22"/>
                <w:szCs w:val="22"/>
              </w:rPr>
            </w:pPr>
          </w:p>
        </w:tc>
      </w:tr>
      <w:tr w:rsidR="00F5553A" w:rsidRPr="005103A3" w:rsidTr="00CC5835">
        <w:trPr>
          <w:trHeight w:val="873"/>
        </w:trPr>
        <w:tc>
          <w:tcPr>
            <w:tcW w:w="1458" w:type="dxa"/>
            <w:tcBorders>
              <w:top w:val="thinThickSmallGap" w:sz="24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F5553A" w:rsidRPr="005C5104" w:rsidRDefault="00F5553A" w:rsidP="009835F8">
            <w:pPr>
              <w:jc w:val="center"/>
              <w:rPr>
                <w:b/>
                <w:sz w:val="20"/>
                <w:szCs w:val="20"/>
              </w:rPr>
            </w:pPr>
            <w:r w:rsidRPr="005C5104">
              <w:rPr>
                <w:b/>
                <w:sz w:val="20"/>
                <w:szCs w:val="20"/>
              </w:rPr>
              <w:t>Household Size</w:t>
            </w:r>
          </w:p>
        </w:tc>
        <w:tc>
          <w:tcPr>
            <w:tcW w:w="2160" w:type="dxa"/>
            <w:tcBorders>
              <w:top w:val="thinThickSmallGap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F5553A" w:rsidRPr="005C5104" w:rsidRDefault="00F5553A" w:rsidP="009835F8">
            <w:pPr>
              <w:jc w:val="center"/>
              <w:rPr>
                <w:b/>
                <w:sz w:val="20"/>
                <w:szCs w:val="20"/>
              </w:rPr>
            </w:pPr>
            <w:r w:rsidRPr="005C5104">
              <w:rPr>
                <w:b/>
                <w:sz w:val="20"/>
                <w:szCs w:val="20"/>
              </w:rPr>
              <w:t>85% FPG</w:t>
            </w:r>
          </w:p>
          <w:p w:rsidR="00F5553A" w:rsidRPr="005C5104" w:rsidRDefault="00F5553A" w:rsidP="009835F8">
            <w:pPr>
              <w:jc w:val="center"/>
              <w:rPr>
                <w:b/>
                <w:sz w:val="20"/>
                <w:szCs w:val="20"/>
              </w:rPr>
            </w:pPr>
            <w:r w:rsidRPr="005C5104">
              <w:rPr>
                <w:b/>
                <w:sz w:val="20"/>
                <w:szCs w:val="20"/>
              </w:rPr>
              <w:t>Poverty Gross Limit for Cash</w:t>
            </w:r>
          </w:p>
        </w:tc>
        <w:tc>
          <w:tcPr>
            <w:tcW w:w="1890" w:type="dxa"/>
            <w:tcBorders>
              <w:top w:val="thinThickSmallGap" w:sz="24" w:space="0" w:color="auto"/>
              <w:left w:val="double" w:sz="6" w:space="0" w:color="auto"/>
              <w:bottom w:val="double" w:sz="6" w:space="0" w:color="auto"/>
            </w:tcBorders>
            <w:shd w:val="clear" w:color="auto" w:fill="FBD4B4" w:themeFill="accent6" w:themeFillTint="66"/>
            <w:vAlign w:val="center"/>
          </w:tcPr>
          <w:p w:rsidR="00F5553A" w:rsidRPr="005C5104" w:rsidRDefault="00F5553A" w:rsidP="009835F8">
            <w:pPr>
              <w:jc w:val="center"/>
              <w:rPr>
                <w:b/>
                <w:sz w:val="20"/>
                <w:szCs w:val="20"/>
              </w:rPr>
            </w:pPr>
            <w:r w:rsidRPr="005C5104">
              <w:rPr>
                <w:b/>
                <w:sz w:val="20"/>
                <w:szCs w:val="20"/>
              </w:rPr>
              <w:t>Standard of Need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double" w:sz="6" w:space="0" w:color="auto"/>
              <w:bottom w:val="double" w:sz="6" w:space="0" w:color="auto"/>
            </w:tcBorders>
            <w:shd w:val="clear" w:color="auto" w:fill="FBD4B4" w:themeFill="accent6" w:themeFillTint="66"/>
            <w:vAlign w:val="center"/>
          </w:tcPr>
          <w:p w:rsidR="00FD7CF2" w:rsidRDefault="00FD7CF2" w:rsidP="009835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Budgetary Adjustment Amount</w:t>
            </w:r>
          </w:p>
          <w:p w:rsidR="00F5553A" w:rsidRPr="005C5104" w:rsidRDefault="00F5553A" w:rsidP="009835F8">
            <w:pPr>
              <w:jc w:val="center"/>
              <w:rPr>
                <w:b/>
                <w:sz w:val="20"/>
                <w:szCs w:val="20"/>
              </w:rPr>
            </w:pPr>
            <w:r w:rsidRPr="005C5104">
              <w:rPr>
                <w:b/>
                <w:sz w:val="20"/>
                <w:szCs w:val="20"/>
              </w:rPr>
              <w:t>Effective January 1, 2011</w:t>
            </w:r>
          </w:p>
          <w:p w:rsidR="00F5553A" w:rsidRPr="005C5104" w:rsidRDefault="00F5553A" w:rsidP="009835F8">
            <w:pPr>
              <w:jc w:val="center"/>
              <w:rPr>
                <w:b/>
                <w:sz w:val="20"/>
                <w:szCs w:val="20"/>
              </w:rPr>
            </w:pPr>
            <w:r w:rsidRPr="005C5104">
              <w:rPr>
                <w:b/>
                <w:sz w:val="20"/>
                <w:szCs w:val="20"/>
              </w:rPr>
              <w:t xml:space="preserve">15 Percent Reduction </w:t>
            </w:r>
          </w:p>
        </w:tc>
        <w:tc>
          <w:tcPr>
            <w:tcW w:w="2970" w:type="dxa"/>
            <w:tcBorders>
              <w:top w:val="thinThickSmallGap" w:sz="24" w:space="0" w:color="auto"/>
              <w:left w:val="double" w:sz="6" w:space="0" w:color="auto"/>
              <w:bottom w:val="double" w:sz="6" w:space="0" w:color="auto"/>
            </w:tcBorders>
            <w:shd w:val="clear" w:color="auto" w:fill="FBD4B4" w:themeFill="accent6" w:themeFillTint="66"/>
          </w:tcPr>
          <w:p w:rsidR="00FD7CF2" w:rsidRDefault="00FD7CF2" w:rsidP="009835F8">
            <w:pPr>
              <w:jc w:val="center"/>
              <w:rPr>
                <w:b/>
                <w:sz w:val="20"/>
                <w:szCs w:val="20"/>
              </w:rPr>
            </w:pPr>
          </w:p>
          <w:p w:rsidR="00F5553A" w:rsidRPr="005C5104" w:rsidRDefault="00F5553A" w:rsidP="009835F8">
            <w:pPr>
              <w:jc w:val="center"/>
              <w:rPr>
                <w:b/>
                <w:sz w:val="20"/>
                <w:szCs w:val="20"/>
              </w:rPr>
            </w:pPr>
            <w:r w:rsidRPr="005C5104">
              <w:rPr>
                <w:b/>
                <w:sz w:val="20"/>
                <w:szCs w:val="20"/>
              </w:rPr>
              <w:t>Standard of Need with Budgetary Adjustment Amount</w:t>
            </w:r>
          </w:p>
        </w:tc>
      </w:tr>
      <w:tr w:rsidR="00F5553A" w:rsidRPr="005103A3" w:rsidTr="00CC5835">
        <w:tc>
          <w:tcPr>
            <w:tcW w:w="1458" w:type="dxa"/>
            <w:tcBorders>
              <w:top w:val="double" w:sz="6" w:space="0" w:color="auto"/>
              <w:right w:val="double" w:sz="6" w:space="0" w:color="auto"/>
            </w:tcBorders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5553A" w:rsidRPr="005C5104" w:rsidRDefault="00F5553A" w:rsidP="00F5553A">
            <w:pPr>
              <w:ind w:left="612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   7</w:t>
            </w:r>
            <w:r w:rsidR="00A21278">
              <w:rPr>
                <w:sz w:val="20"/>
                <w:szCs w:val="20"/>
              </w:rPr>
              <w:t>91</w:t>
            </w:r>
          </w:p>
        </w:tc>
        <w:tc>
          <w:tcPr>
            <w:tcW w:w="189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$266</w:t>
            </w:r>
          </w:p>
        </w:tc>
        <w:tc>
          <w:tcPr>
            <w:tcW w:w="2880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-$  39</w:t>
            </w:r>
          </w:p>
        </w:tc>
        <w:tc>
          <w:tcPr>
            <w:tcW w:w="2970" w:type="dxa"/>
            <w:tcBorders>
              <w:top w:val="double" w:sz="6" w:space="0" w:color="auto"/>
              <w:left w:val="double" w:sz="6" w:space="0" w:color="auto"/>
            </w:tcBorders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$227</w:t>
            </w:r>
          </w:p>
        </w:tc>
      </w:tr>
      <w:tr w:rsidR="00F5553A" w:rsidRPr="005103A3" w:rsidTr="00CC5835">
        <w:tc>
          <w:tcPr>
            <w:tcW w:w="1458" w:type="dxa"/>
            <w:tcBorders>
              <w:right w:val="double" w:sz="6" w:space="0" w:color="auto"/>
            </w:tcBorders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left w:val="double" w:sz="6" w:space="0" w:color="auto"/>
              <w:right w:val="double" w:sz="6" w:space="0" w:color="auto"/>
            </w:tcBorders>
          </w:tcPr>
          <w:p w:rsidR="00F5553A" w:rsidRPr="005C5104" w:rsidRDefault="00F5553A" w:rsidP="00CC5835">
            <w:pPr>
              <w:ind w:left="612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$1,0</w:t>
            </w:r>
            <w:r w:rsidR="00A21278">
              <w:rPr>
                <w:sz w:val="20"/>
                <w:szCs w:val="20"/>
              </w:rPr>
              <w:t>72</w:t>
            </w:r>
          </w:p>
        </w:tc>
        <w:tc>
          <w:tcPr>
            <w:tcW w:w="1890" w:type="dxa"/>
            <w:tcBorders>
              <w:left w:val="double" w:sz="6" w:space="0" w:color="auto"/>
            </w:tcBorders>
            <w:vAlign w:val="center"/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$357</w:t>
            </w:r>
          </w:p>
        </w:tc>
        <w:tc>
          <w:tcPr>
            <w:tcW w:w="2880" w:type="dxa"/>
            <w:gridSpan w:val="2"/>
            <w:tcBorders>
              <w:left w:val="double" w:sz="6" w:space="0" w:color="auto"/>
            </w:tcBorders>
            <w:vAlign w:val="center"/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-$  53</w:t>
            </w:r>
          </w:p>
        </w:tc>
        <w:tc>
          <w:tcPr>
            <w:tcW w:w="2970" w:type="dxa"/>
            <w:tcBorders>
              <w:left w:val="double" w:sz="6" w:space="0" w:color="auto"/>
            </w:tcBorders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$304</w:t>
            </w:r>
          </w:p>
        </w:tc>
      </w:tr>
      <w:tr w:rsidR="00F5553A" w:rsidRPr="005103A3" w:rsidTr="00CC5835">
        <w:tc>
          <w:tcPr>
            <w:tcW w:w="1458" w:type="dxa"/>
            <w:tcBorders>
              <w:right w:val="double" w:sz="6" w:space="0" w:color="auto"/>
            </w:tcBorders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left w:val="double" w:sz="6" w:space="0" w:color="auto"/>
              <w:right w:val="double" w:sz="6" w:space="0" w:color="auto"/>
            </w:tcBorders>
          </w:tcPr>
          <w:p w:rsidR="00F5553A" w:rsidRPr="005C5104" w:rsidRDefault="00F5553A" w:rsidP="00F5553A">
            <w:pPr>
              <w:ind w:left="612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$1,3</w:t>
            </w:r>
            <w:r w:rsidR="00A21278">
              <w:rPr>
                <w:sz w:val="20"/>
                <w:szCs w:val="20"/>
              </w:rPr>
              <w:t>52</w:t>
            </w:r>
          </w:p>
        </w:tc>
        <w:tc>
          <w:tcPr>
            <w:tcW w:w="1890" w:type="dxa"/>
            <w:tcBorders>
              <w:left w:val="double" w:sz="6" w:space="0" w:color="auto"/>
            </w:tcBorders>
            <w:vAlign w:val="center"/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$447</w:t>
            </w:r>
          </w:p>
        </w:tc>
        <w:tc>
          <w:tcPr>
            <w:tcW w:w="2880" w:type="dxa"/>
            <w:gridSpan w:val="2"/>
            <w:tcBorders>
              <w:left w:val="double" w:sz="6" w:space="0" w:color="auto"/>
            </w:tcBorders>
            <w:vAlign w:val="center"/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-$  67</w:t>
            </w:r>
          </w:p>
        </w:tc>
        <w:tc>
          <w:tcPr>
            <w:tcW w:w="2970" w:type="dxa"/>
            <w:tcBorders>
              <w:left w:val="double" w:sz="6" w:space="0" w:color="auto"/>
            </w:tcBorders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$380</w:t>
            </w:r>
          </w:p>
        </w:tc>
      </w:tr>
      <w:tr w:rsidR="00F5553A" w:rsidRPr="005103A3" w:rsidTr="00CC5835">
        <w:tc>
          <w:tcPr>
            <w:tcW w:w="1458" w:type="dxa"/>
            <w:tcBorders>
              <w:right w:val="double" w:sz="6" w:space="0" w:color="auto"/>
            </w:tcBorders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left w:val="double" w:sz="6" w:space="0" w:color="auto"/>
              <w:right w:val="double" w:sz="6" w:space="0" w:color="auto"/>
            </w:tcBorders>
          </w:tcPr>
          <w:p w:rsidR="00F5553A" w:rsidRPr="005C5104" w:rsidRDefault="00F5553A" w:rsidP="009835F8">
            <w:pPr>
              <w:ind w:left="612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$1</w:t>
            </w:r>
            <w:r w:rsidR="00A21278">
              <w:rPr>
                <w:sz w:val="20"/>
                <w:szCs w:val="20"/>
              </w:rPr>
              <w:t>,633</w:t>
            </w:r>
          </w:p>
        </w:tc>
        <w:tc>
          <w:tcPr>
            <w:tcW w:w="1890" w:type="dxa"/>
            <w:tcBorders>
              <w:left w:val="double" w:sz="6" w:space="0" w:color="auto"/>
            </w:tcBorders>
            <w:vAlign w:val="center"/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$539</w:t>
            </w:r>
          </w:p>
        </w:tc>
        <w:tc>
          <w:tcPr>
            <w:tcW w:w="2880" w:type="dxa"/>
            <w:gridSpan w:val="2"/>
            <w:tcBorders>
              <w:left w:val="double" w:sz="6" w:space="0" w:color="auto"/>
            </w:tcBorders>
            <w:vAlign w:val="center"/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-$  80</w:t>
            </w:r>
          </w:p>
        </w:tc>
        <w:tc>
          <w:tcPr>
            <w:tcW w:w="2970" w:type="dxa"/>
            <w:tcBorders>
              <w:left w:val="double" w:sz="6" w:space="0" w:color="auto"/>
            </w:tcBorders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$459</w:t>
            </w:r>
          </w:p>
        </w:tc>
      </w:tr>
      <w:tr w:rsidR="00F5553A" w:rsidRPr="005103A3" w:rsidTr="00CC5835">
        <w:tc>
          <w:tcPr>
            <w:tcW w:w="1458" w:type="dxa"/>
            <w:tcBorders>
              <w:right w:val="double" w:sz="6" w:space="0" w:color="auto"/>
            </w:tcBorders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left w:val="double" w:sz="6" w:space="0" w:color="auto"/>
              <w:right w:val="double" w:sz="6" w:space="0" w:color="auto"/>
            </w:tcBorders>
          </w:tcPr>
          <w:p w:rsidR="00F5553A" w:rsidRPr="005C5104" w:rsidRDefault="00F5553A" w:rsidP="009835F8">
            <w:pPr>
              <w:ind w:left="612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$1,</w:t>
            </w:r>
            <w:r w:rsidR="00A21278">
              <w:rPr>
                <w:sz w:val="20"/>
                <w:szCs w:val="20"/>
              </w:rPr>
              <w:t>913</w:t>
            </w:r>
          </w:p>
        </w:tc>
        <w:tc>
          <w:tcPr>
            <w:tcW w:w="1890" w:type="dxa"/>
            <w:tcBorders>
              <w:left w:val="double" w:sz="6" w:space="0" w:color="auto"/>
            </w:tcBorders>
            <w:vAlign w:val="center"/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$630</w:t>
            </w:r>
          </w:p>
        </w:tc>
        <w:tc>
          <w:tcPr>
            <w:tcW w:w="2880" w:type="dxa"/>
            <w:gridSpan w:val="2"/>
            <w:tcBorders>
              <w:left w:val="double" w:sz="6" w:space="0" w:color="auto"/>
            </w:tcBorders>
            <w:vAlign w:val="center"/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-$  94</w:t>
            </w:r>
          </w:p>
        </w:tc>
        <w:tc>
          <w:tcPr>
            <w:tcW w:w="2970" w:type="dxa"/>
            <w:tcBorders>
              <w:left w:val="double" w:sz="6" w:space="0" w:color="auto"/>
            </w:tcBorders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$53</w:t>
            </w:r>
            <w:r w:rsidR="00A21278">
              <w:rPr>
                <w:sz w:val="20"/>
                <w:szCs w:val="20"/>
              </w:rPr>
              <w:t>6</w:t>
            </w:r>
          </w:p>
        </w:tc>
      </w:tr>
      <w:tr w:rsidR="00F5553A" w:rsidRPr="005103A3" w:rsidTr="00CC5835">
        <w:tc>
          <w:tcPr>
            <w:tcW w:w="1458" w:type="dxa"/>
            <w:tcBorders>
              <w:right w:val="double" w:sz="6" w:space="0" w:color="auto"/>
            </w:tcBorders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left w:val="double" w:sz="6" w:space="0" w:color="auto"/>
              <w:right w:val="double" w:sz="6" w:space="0" w:color="auto"/>
            </w:tcBorders>
          </w:tcPr>
          <w:p w:rsidR="00F5553A" w:rsidRPr="005C5104" w:rsidRDefault="00F5553A" w:rsidP="009835F8">
            <w:pPr>
              <w:ind w:left="612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$2,1</w:t>
            </w:r>
            <w:r w:rsidR="00A21278">
              <w:rPr>
                <w:sz w:val="20"/>
                <w:szCs w:val="20"/>
              </w:rPr>
              <w:t>94</w:t>
            </w:r>
          </w:p>
        </w:tc>
        <w:tc>
          <w:tcPr>
            <w:tcW w:w="1890" w:type="dxa"/>
            <w:tcBorders>
              <w:left w:val="double" w:sz="6" w:space="0" w:color="auto"/>
            </w:tcBorders>
            <w:vAlign w:val="center"/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$721</w:t>
            </w:r>
          </w:p>
        </w:tc>
        <w:tc>
          <w:tcPr>
            <w:tcW w:w="2880" w:type="dxa"/>
            <w:gridSpan w:val="2"/>
            <w:tcBorders>
              <w:left w:val="double" w:sz="6" w:space="0" w:color="auto"/>
            </w:tcBorders>
            <w:vAlign w:val="center"/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-$108</w:t>
            </w:r>
          </w:p>
        </w:tc>
        <w:tc>
          <w:tcPr>
            <w:tcW w:w="2970" w:type="dxa"/>
            <w:tcBorders>
              <w:left w:val="double" w:sz="6" w:space="0" w:color="auto"/>
            </w:tcBorders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$613</w:t>
            </w:r>
          </w:p>
        </w:tc>
      </w:tr>
      <w:tr w:rsidR="00F5553A" w:rsidRPr="005103A3" w:rsidTr="00CC5835">
        <w:tc>
          <w:tcPr>
            <w:tcW w:w="1458" w:type="dxa"/>
            <w:tcBorders>
              <w:right w:val="double" w:sz="6" w:space="0" w:color="auto"/>
            </w:tcBorders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left w:val="double" w:sz="6" w:space="0" w:color="auto"/>
              <w:right w:val="double" w:sz="6" w:space="0" w:color="auto"/>
            </w:tcBorders>
          </w:tcPr>
          <w:p w:rsidR="00F5553A" w:rsidRPr="005C5104" w:rsidRDefault="00F5553A" w:rsidP="009835F8">
            <w:pPr>
              <w:ind w:left="612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$2,</w:t>
            </w:r>
            <w:r w:rsidR="00A21278">
              <w:rPr>
                <w:sz w:val="20"/>
                <w:szCs w:val="20"/>
              </w:rPr>
              <w:t>474</w:t>
            </w:r>
          </w:p>
        </w:tc>
        <w:tc>
          <w:tcPr>
            <w:tcW w:w="1890" w:type="dxa"/>
            <w:tcBorders>
              <w:left w:val="double" w:sz="6" w:space="0" w:color="auto"/>
            </w:tcBorders>
            <w:vAlign w:val="center"/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$812</w:t>
            </w:r>
          </w:p>
        </w:tc>
        <w:tc>
          <w:tcPr>
            <w:tcW w:w="2880" w:type="dxa"/>
            <w:gridSpan w:val="2"/>
            <w:tcBorders>
              <w:left w:val="double" w:sz="6" w:space="0" w:color="auto"/>
            </w:tcBorders>
            <w:vAlign w:val="center"/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-$121</w:t>
            </w:r>
          </w:p>
        </w:tc>
        <w:tc>
          <w:tcPr>
            <w:tcW w:w="2970" w:type="dxa"/>
            <w:tcBorders>
              <w:left w:val="double" w:sz="6" w:space="0" w:color="auto"/>
            </w:tcBorders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$6</w:t>
            </w:r>
            <w:r w:rsidR="00A21278">
              <w:rPr>
                <w:sz w:val="20"/>
                <w:szCs w:val="20"/>
              </w:rPr>
              <w:t>91</w:t>
            </w:r>
          </w:p>
        </w:tc>
      </w:tr>
      <w:tr w:rsidR="00F5553A" w:rsidRPr="005103A3" w:rsidTr="001236A0">
        <w:tc>
          <w:tcPr>
            <w:tcW w:w="1458" w:type="dxa"/>
            <w:tcBorders>
              <w:bottom w:val="single" w:sz="6" w:space="0" w:color="auto"/>
              <w:right w:val="double" w:sz="6" w:space="0" w:color="auto"/>
            </w:tcBorders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5553A" w:rsidRPr="005C5104" w:rsidRDefault="00F5553A" w:rsidP="009835F8">
            <w:pPr>
              <w:ind w:left="612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$2,</w:t>
            </w:r>
            <w:r w:rsidR="00A21278">
              <w:rPr>
                <w:sz w:val="20"/>
                <w:szCs w:val="20"/>
              </w:rPr>
              <w:t>755</w:t>
            </w:r>
          </w:p>
        </w:tc>
        <w:tc>
          <w:tcPr>
            <w:tcW w:w="1890" w:type="dxa"/>
            <w:tcBorders>
              <w:left w:val="double" w:sz="6" w:space="0" w:color="auto"/>
              <w:bottom w:val="single" w:sz="6" w:space="0" w:color="auto"/>
            </w:tcBorders>
            <w:vAlign w:val="center"/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$922</w:t>
            </w:r>
          </w:p>
        </w:tc>
        <w:tc>
          <w:tcPr>
            <w:tcW w:w="2880" w:type="dxa"/>
            <w:gridSpan w:val="2"/>
            <w:tcBorders>
              <w:left w:val="double" w:sz="6" w:space="0" w:color="auto"/>
              <w:bottom w:val="single" w:sz="6" w:space="0" w:color="auto"/>
            </w:tcBorders>
            <w:vAlign w:val="center"/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-$138</w:t>
            </w:r>
          </w:p>
        </w:tc>
        <w:tc>
          <w:tcPr>
            <w:tcW w:w="2970" w:type="dxa"/>
            <w:tcBorders>
              <w:left w:val="double" w:sz="6" w:space="0" w:color="auto"/>
              <w:bottom w:val="single" w:sz="6" w:space="0" w:color="auto"/>
            </w:tcBorders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$784</w:t>
            </w:r>
          </w:p>
        </w:tc>
      </w:tr>
      <w:tr w:rsidR="00F5553A" w:rsidRPr="005103A3" w:rsidTr="001236A0">
        <w:tc>
          <w:tcPr>
            <w:tcW w:w="8388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F5553A" w:rsidRPr="005C5104" w:rsidRDefault="00F5553A" w:rsidP="009835F8">
            <w:pPr>
              <w:ind w:left="342"/>
              <w:jc w:val="both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For each additional member add: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:rsidR="00F5553A" w:rsidRPr="005C5104" w:rsidRDefault="00F5553A" w:rsidP="009835F8">
            <w:pPr>
              <w:ind w:left="342"/>
              <w:jc w:val="both"/>
              <w:rPr>
                <w:sz w:val="20"/>
                <w:szCs w:val="20"/>
              </w:rPr>
            </w:pPr>
          </w:p>
        </w:tc>
      </w:tr>
      <w:tr w:rsidR="00F5553A" w:rsidRPr="005103A3" w:rsidTr="001236A0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thinThickSmallGap" w:sz="24" w:space="0" w:color="auto"/>
              <w:bottom w:val="nil"/>
              <w:right w:val="double" w:sz="6" w:space="0" w:color="auto"/>
            </w:tcBorders>
            <w:shd w:val="clear" w:color="auto" w:fill="0C0C0C"/>
          </w:tcPr>
          <w:p w:rsidR="00F5553A" w:rsidRPr="005C5104" w:rsidRDefault="00F5553A" w:rsidP="009835F8">
            <w:pPr>
              <w:jc w:val="both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5553A" w:rsidRPr="005C5104" w:rsidRDefault="00F5553A" w:rsidP="00BA7193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+$2</w:t>
            </w:r>
            <w:r w:rsidR="00A21278">
              <w:rPr>
                <w:sz w:val="20"/>
                <w:szCs w:val="20"/>
              </w:rPr>
              <w:t>81</w:t>
            </w:r>
          </w:p>
        </w:tc>
        <w:tc>
          <w:tcPr>
            <w:tcW w:w="189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F5553A" w:rsidRPr="005C5104" w:rsidRDefault="00F5553A" w:rsidP="00BA7193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+$ 9</w:t>
            </w:r>
            <w:r w:rsidR="00A21278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-$14</w:t>
            </w:r>
          </w:p>
        </w:tc>
        <w:tc>
          <w:tcPr>
            <w:tcW w:w="297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thickThinSmallGap" w:sz="24" w:space="0" w:color="auto"/>
            </w:tcBorders>
          </w:tcPr>
          <w:p w:rsidR="00F5553A" w:rsidRPr="005C5104" w:rsidRDefault="00F5553A" w:rsidP="009835F8">
            <w:pPr>
              <w:jc w:val="center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+ $77</w:t>
            </w:r>
          </w:p>
        </w:tc>
      </w:tr>
      <w:tr w:rsidR="00A7387C" w:rsidTr="00A73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58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7387C" w:rsidRPr="005C5104" w:rsidRDefault="00A7387C" w:rsidP="0071101A">
            <w:pPr>
              <w:pStyle w:val="BodyText"/>
              <w:jc w:val="center"/>
              <w:rPr>
                <w:b/>
              </w:rPr>
            </w:pPr>
            <w:bookmarkStart w:id="0" w:name="_GoBack"/>
            <w:bookmarkEnd w:id="0"/>
            <w:r w:rsidRPr="005C5104">
              <w:rPr>
                <w:b/>
              </w:rPr>
              <w:t>Deductions</w:t>
            </w:r>
          </w:p>
        </w:tc>
      </w:tr>
      <w:tr w:rsidR="00A7387C" w:rsidTr="00A73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8" w:type="dxa"/>
            <w:gridSpan w:val="4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A7387C" w:rsidRPr="005C5104" w:rsidRDefault="00A7387C" w:rsidP="0071101A">
            <w:pPr>
              <w:pStyle w:val="BodyText"/>
              <w:jc w:val="left"/>
              <w:rPr>
                <w:b/>
              </w:rPr>
            </w:pPr>
            <w:r w:rsidRPr="005C5104">
              <w:rPr>
                <w:b/>
              </w:rPr>
              <w:t xml:space="preserve">Dependent Care: </w:t>
            </w:r>
          </w:p>
          <w:p w:rsidR="00A7387C" w:rsidRPr="005C5104" w:rsidRDefault="00A7387C" w:rsidP="0071101A">
            <w:pPr>
              <w:pStyle w:val="BodyText"/>
              <w:ind w:left="216"/>
            </w:pPr>
            <w:r w:rsidRPr="005C5104">
              <w:t>For Dependent under age 2 = $200</w:t>
            </w:r>
          </w:p>
          <w:p w:rsidR="00A7387C" w:rsidRPr="005C5104" w:rsidRDefault="00A7387C" w:rsidP="00652C2D">
            <w:pPr>
              <w:pStyle w:val="BodyText"/>
              <w:ind w:left="216"/>
            </w:pPr>
            <w:r w:rsidRPr="005C5104">
              <w:t xml:space="preserve">For Dependent  2 and over = $175 </w:t>
            </w:r>
          </w:p>
        </w:tc>
        <w:tc>
          <w:tcPr>
            <w:tcW w:w="5490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A7387C" w:rsidRPr="005C5104" w:rsidRDefault="00A7387C" w:rsidP="009835F8">
            <w:pPr>
              <w:pStyle w:val="BodyText"/>
              <w:rPr>
                <w:b/>
              </w:rPr>
            </w:pPr>
            <w:r w:rsidRPr="005C5104">
              <w:rPr>
                <w:b/>
              </w:rPr>
              <w:t>Work Incentive</w:t>
            </w:r>
          </w:p>
          <w:p w:rsidR="00A7387C" w:rsidRPr="005C5104" w:rsidRDefault="00A7387C" w:rsidP="00BE4169">
            <w:pPr>
              <w:numPr>
                <w:ilvl w:val="0"/>
                <w:numId w:val="3"/>
              </w:numPr>
              <w:tabs>
                <w:tab w:val="clear" w:pos="360"/>
                <w:tab w:val="left" w:pos="342"/>
              </w:tabs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Earned Income Disregard</w:t>
            </w:r>
          </w:p>
          <w:p w:rsidR="00A7387C" w:rsidRPr="005C5104" w:rsidRDefault="00A7387C" w:rsidP="0071101A">
            <w:pPr>
              <w:ind w:left="360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 xml:space="preserve">Single Person = </w:t>
            </w:r>
            <w:r>
              <w:rPr>
                <w:sz w:val="20"/>
                <w:szCs w:val="20"/>
              </w:rPr>
              <w:t>$</w:t>
            </w:r>
            <w:r w:rsidRPr="005C5104">
              <w:rPr>
                <w:sz w:val="20"/>
                <w:szCs w:val="20"/>
              </w:rPr>
              <w:t>125 and ½ remainder</w:t>
            </w:r>
          </w:p>
          <w:p w:rsidR="00A7387C" w:rsidRPr="005C5104" w:rsidRDefault="00A7387C" w:rsidP="0071101A">
            <w:pPr>
              <w:ind w:left="360"/>
              <w:rPr>
                <w:sz w:val="20"/>
                <w:szCs w:val="20"/>
              </w:rPr>
            </w:pPr>
            <w:r w:rsidRPr="005C5104">
              <w:rPr>
                <w:sz w:val="20"/>
                <w:szCs w:val="20"/>
              </w:rPr>
              <w:t>Two Person = $225 and ½ remainder</w:t>
            </w:r>
          </w:p>
        </w:tc>
      </w:tr>
    </w:tbl>
    <w:p w:rsidR="00A62570" w:rsidRPr="00A62570" w:rsidRDefault="00A62570" w:rsidP="00A62570">
      <w:pPr>
        <w:shd w:val="clear" w:color="auto" w:fill="FFFFFF"/>
        <w:spacing w:before="75" w:after="75"/>
        <w:ind w:right="144"/>
        <w:rPr>
          <w:color w:val="333333"/>
          <w:sz w:val="8"/>
          <w:szCs w:val="8"/>
        </w:rPr>
      </w:pPr>
    </w:p>
    <w:tbl>
      <w:tblPr>
        <w:tblStyle w:val="TableList3"/>
        <w:tblW w:w="0" w:type="auto"/>
        <w:tblInd w:w="1188" w:type="dxa"/>
        <w:tblLayout w:type="fixed"/>
        <w:tblLook w:val="01E0" w:firstRow="1" w:lastRow="1" w:firstColumn="1" w:lastColumn="1" w:noHBand="0" w:noVBand="0"/>
      </w:tblPr>
      <w:tblGrid>
        <w:gridCol w:w="5220"/>
        <w:gridCol w:w="1080"/>
      </w:tblGrid>
      <w:tr w:rsidR="00EB2DC6" w:rsidTr="00CC5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20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EB2DC6" w:rsidRPr="003350DA" w:rsidRDefault="00A62570" w:rsidP="0097161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Geographical </w:t>
            </w:r>
            <w:r w:rsidR="00EB2DC6" w:rsidRPr="003350DA">
              <w:rPr>
                <w:color w:val="auto"/>
              </w:rPr>
              <w:t>Region</w:t>
            </w:r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EB2DC6" w:rsidRPr="003350DA" w:rsidRDefault="00EB2DC6" w:rsidP="00C80C8D">
            <w:pPr>
              <w:rPr>
                <w:color w:val="auto"/>
              </w:rPr>
            </w:pPr>
            <w:r w:rsidRPr="003350DA">
              <w:rPr>
                <w:color w:val="auto"/>
              </w:rPr>
              <w:t>Slots</w:t>
            </w:r>
          </w:p>
        </w:tc>
      </w:tr>
      <w:tr w:rsidR="00EB2DC6" w:rsidTr="008A6197">
        <w:tc>
          <w:tcPr>
            <w:tcW w:w="5220" w:type="dxa"/>
          </w:tcPr>
          <w:p w:rsidR="00EB2DC6" w:rsidRPr="00CC5835" w:rsidRDefault="00A62570" w:rsidP="00971614">
            <w:pPr>
              <w:rPr>
                <w:color w:val="333333"/>
                <w:sz w:val="22"/>
                <w:szCs w:val="22"/>
              </w:rPr>
            </w:pPr>
            <w:r w:rsidRPr="00CC5835">
              <w:rPr>
                <w:color w:val="333333"/>
                <w:sz w:val="22"/>
                <w:szCs w:val="22"/>
              </w:rPr>
              <w:t xml:space="preserve">Northwest </w:t>
            </w:r>
            <w:r w:rsidR="00971614" w:rsidRPr="00CC5835">
              <w:rPr>
                <w:color w:val="333333"/>
                <w:sz w:val="22"/>
                <w:szCs w:val="22"/>
              </w:rPr>
              <w:t xml:space="preserve">Region </w:t>
            </w:r>
            <w:r w:rsidRPr="00CC5835">
              <w:rPr>
                <w:color w:val="333333"/>
                <w:sz w:val="22"/>
                <w:szCs w:val="22"/>
              </w:rPr>
              <w:t>1</w:t>
            </w:r>
          </w:p>
          <w:p w:rsidR="00A62570" w:rsidRPr="00A21278" w:rsidRDefault="00A62570" w:rsidP="00971614">
            <w:pPr>
              <w:rPr>
                <w:b/>
                <w:lang w:val="es-MX"/>
              </w:rPr>
            </w:pPr>
            <w:r w:rsidRPr="00A21278">
              <w:rPr>
                <w:sz w:val="16"/>
                <w:szCs w:val="16"/>
                <w:lang w:val="es-MX"/>
              </w:rPr>
              <w:t>McKinley, Cibola, San Juan, Sandoval, Valencia, Union</w:t>
            </w:r>
          </w:p>
        </w:tc>
        <w:tc>
          <w:tcPr>
            <w:tcW w:w="1080" w:type="dxa"/>
            <w:vAlign w:val="center"/>
          </w:tcPr>
          <w:p w:rsidR="00EB2DC6" w:rsidRPr="00CC5835" w:rsidRDefault="00FA3082" w:rsidP="008A6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</w:tr>
      <w:tr w:rsidR="00EB2DC6" w:rsidRPr="00D006AA" w:rsidTr="008A6197">
        <w:tc>
          <w:tcPr>
            <w:tcW w:w="5220" w:type="dxa"/>
          </w:tcPr>
          <w:p w:rsidR="00EB2DC6" w:rsidRPr="00A21278" w:rsidRDefault="00A62570" w:rsidP="00971614">
            <w:pPr>
              <w:rPr>
                <w:color w:val="333333"/>
                <w:sz w:val="22"/>
                <w:szCs w:val="22"/>
                <w:lang w:val="es-MX"/>
              </w:rPr>
            </w:pPr>
            <w:r w:rsidRPr="00A21278">
              <w:rPr>
                <w:color w:val="333333"/>
                <w:sz w:val="22"/>
                <w:szCs w:val="22"/>
                <w:lang w:val="es-MX"/>
              </w:rPr>
              <w:t xml:space="preserve">Northeast </w:t>
            </w:r>
            <w:r w:rsidR="00EB2DC6" w:rsidRPr="00A21278">
              <w:rPr>
                <w:color w:val="333333"/>
                <w:sz w:val="22"/>
                <w:szCs w:val="22"/>
                <w:lang w:val="es-MX"/>
              </w:rPr>
              <w:t xml:space="preserve">Region </w:t>
            </w:r>
            <w:r w:rsidRPr="00A21278">
              <w:rPr>
                <w:color w:val="333333"/>
                <w:sz w:val="22"/>
                <w:szCs w:val="22"/>
                <w:lang w:val="es-MX"/>
              </w:rPr>
              <w:t>2</w:t>
            </w:r>
          </w:p>
          <w:p w:rsidR="00A62570" w:rsidRPr="00A21278" w:rsidRDefault="00A62570" w:rsidP="00971614">
            <w:pPr>
              <w:rPr>
                <w:b/>
                <w:lang w:val="es-MX"/>
              </w:rPr>
            </w:pPr>
            <w:r w:rsidRPr="00A21278">
              <w:rPr>
                <w:sz w:val="16"/>
                <w:szCs w:val="16"/>
                <w:lang w:val="es-MX"/>
              </w:rPr>
              <w:t>Colfax, Los Alamos, Mora, Rio Arriba, San Miguel, Santa Fe, Taos, Harding</w:t>
            </w:r>
          </w:p>
        </w:tc>
        <w:tc>
          <w:tcPr>
            <w:tcW w:w="1080" w:type="dxa"/>
            <w:vAlign w:val="center"/>
          </w:tcPr>
          <w:p w:rsidR="00EB2DC6" w:rsidRPr="00CC5835" w:rsidRDefault="008A6197" w:rsidP="00FA3082">
            <w:pPr>
              <w:jc w:val="center"/>
              <w:rPr>
                <w:b/>
                <w:sz w:val="22"/>
                <w:szCs w:val="22"/>
              </w:rPr>
            </w:pPr>
            <w:r w:rsidRPr="00CC5835">
              <w:rPr>
                <w:b/>
                <w:sz w:val="22"/>
                <w:szCs w:val="22"/>
              </w:rPr>
              <w:t>6</w:t>
            </w:r>
            <w:r w:rsidR="00FA3082">
              <w:rPr>
                <w:b/>
                <w:sz w:val="22"/>
                <w:szCs w:val="22"/>
              </w:rPr>
              <w:t>0</w:t>
            </w:r>
          </w:p>
        </w:tc>
      </w:tr>
      <w:tr w:rsidR="00EB2DC6" w:rsidRPr="00D006AA" w:rsidTr="008A6197">
        <w:tc>
          <w:tcPr>
            <w:tcW w:w="5220" w:type="dxa"/>
          </w:tcPr>
          <w:p w:rsidR="00EB2DC6" w:rsidRPr="00CC5835" w:rsidRDefault="00A62570" w:rsidP="00971614">
            <w:pPr>
              <w:rPr>
                <w:color w:val="333333"/>
                <w:sz w:val="22"/>
                <w:szCs w:val="22"/>
              </w:rPr>
            </w:pPr>
            <w:r w:rsidRPr="00CC5835">
              <w:rPr>
                <w:color w:val="333333"/>
                <w:sz w:val="22"/>
                <w:szCs w:val="22"/>
              </w:rPr>
              <w:t xml:space="preserve">Central </w:t>
            </w:r>
            <w:r w:rsidR="00971614" w:rsidRPr="00CC5835">
              <w:rPr>
                <w:color w:val="333333"/>
                <w:sz w:val="22"/>
                <w:szCs w:val="22"/>
              </w:rPr>
              <w:t xml:space="preserve">Region </w:t>
            </w:r>
            <w:r w:rsidRPr="00CC5835">
              <w:rPr>
                <w:color w:val="333333"/>
                <w:sz w:val="22"/>
                <w:szCs w:val="22"/>
              </w:rPr>
              <w:t>3</w:t>
            </w:r>
          </w:p>
          <w:p w:rsidR="00A62570" w:rsidRPr="00B00054" w:rsidRDefault="00A62570" w:rsidP="00971614">
            <w:pPr>
              <w:rPr>
                <w:b/>
              </w:rPr>
            </w:pPr>
            <w:r w:rsidRPr="00E42CC8">
              <w:rPr>
                <w:sz w:val="16"/>
                <w:szCs w:val="16"/>
              </w:rPr>
              <w:t>Bernalillo</w:t>
            </w:r>
            <w:r w:rsidR="009B35D0">
              <w:rPr>
                <w:sz w:val="16"/>
                <w:szCs w:val="16"/>
              </w:rPr>
              <w:t>, Torrance</w:t>
            </w:r>
          </w:p>
        </w:tc>
        <w:tc>
          <w:tcPr>
            <w:tcW w:w="1080" w:type="dxa"/>
            <w:vAlign w:val="center"/>
          </w:tcPr>
          <w:p w:rsidR="00EB2DC6" w:rsidRPr="00CC5835" w:rsidRDefault="00FA3082" w:rsidP="008A6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EB2DC6" w:rsidTr="008A6197">
        <w:tc>
          <w:tcPr>
            <w:tcW w:w="5220" w:type="dxa"/>
          </w:tcPr>
          <w:p w:rsidR="00EB2DC6" w:rsidRPr="00CC5835" w:rsidRDefault="00A62570" w:rsidP="00971614">
            <w:pPr>
              <w:rPr>
                <w:color w:val="333333"/>
                <w:sz w:val="22"/>
                <w:szCs w:val="22"/>
              </w:rPr>
            </w:pPr>
            <w:r w:rsidRPr="00CC5835">
              <w:rPr>
                <w:color w:val="333333"/>
                <w:sz w:val="22"/>
                <w:szCs w:val="22"/>
              </w:rPr>
              <w:t xml:space="preserve">Southeast </w:t>
            </w:r>
            <w:r w:rsidR="00971614" w:rsidRPr="00CC5835">
              <w:rPr>
                <w:color w:val="333333"/>
                <w:sz w:val="22"/>
                <w:szCs w:val="22"/>
              </w:rPr>
              <w:t xml:space="preserve">Region </w:t>
            </w:r>
            <w:r w:rsidRPr="00CC5835">
              <w:rPr>
                <w:color w:val="333333"/>
                <w:sz w:val="22"/>
                <w:szCs w:val="22"/>
              </w:rPr>
              <w:t>4</w:t>
            </w:r>
          </w:p>
          <w:p w:rsidR="00A62570" w:rsidRPr="00B00054" w:rsidRDefault="00A62570" w:rsidP="00971614">
            <w:pPr>
              <w:rPr>
                <w:b/>
              </w:rPr>
            </w:pPr>
            <w:r w:rsidRPr="00E42CC8">
              <w:rPr>
                <w:sz w:val="16"/>
                <w:szCs w:val="16"/>
              </w:rPr>
              <w:t xml:space="preserve">Chavez, Curry, De Baca, Eddy, Guadalupe, Lea, Quay, </w:t>
            </w:r>
            <w:smartTag w:uri="urn:schemas-microsoft-com:office:smarttags" w:element="place">
              <w:r w:rsidRPr="00E42CC8">
                <w:rPr>
                  <w:sz w:val="16"/>
                  <w:szCs w:val="16"/>
                </w:rPr>
                <w:t>Roosevelt</w:t>
              </w:r>
            </w:smartTag>
            <w:r w:rsidRPr="00E42CC8">
              <w:rPr>
                <w:sz w:val="16"/>
                <w:szCs w:val="16"/>
              </w:rPr>
              <w:t>,</w:t>
            </w:r>
          </w:p>
        </w:tc>
        <w:tc>
          <w:tcPr>
            <w:tcW w:w="1080" w:type="dxa"/>
            <w:vAlign w:val="center"/>
          </w:tcPr>
          <w:p w:rsidR="00EB2DC6" w:rsidRPr="00CC5835" w:rsidRDefault="008A6197" w:rsidP="008A6197">
            <w:pPr>
              <w:jc w:val="center"/>
              <w:rPr>
                <w:b/>
                <w:sz w:val="22"/>
                <w:szCs w:val="22"/>
              </w:rPr>
            </w:pPr>
            <w:r w:rsidRPr="00CC5835">
              <w:rPr>
                <w:b/>
                <w:sz w:val="22"/>
                <w:szCs w:val="22"/>
              </w:rPr>
              <w:t>3</w:t>
            </w:r>
            <w:r w:rsidR="00FA3082">
              <w:rPr>
                <w:b/>
                <w:sz w:val="22"/>
                <w:szCs w:val="22"/>
              </w:rPr>
              <w:t>2</w:t>
            </w:r>
          </w:p>
        </w:tc>
      </w:tr>
      <w:tr w:rsidR="00EB2DC6" w:rsidRPr="00D006AA" w:rsidTr="008A6197">
        <w:tc>
          <w:tcPr>
            <w:tcW w:w="5220" w:type="dxa"/>
          </w:tcPr>
          <w:p w:rsidR="00EB2DC6" w:rsidRPr="00A21278" w:rsidRDefault="00A62570" w:rsidP="00971614">
            <w:pPr>
              <w:rPr>
                <w:i/>
                <w:color w:val="333333"/>
                <w:sz w:val="22"/>
                <w:szCs w:val="22"/>
                <w:lang w:val="es-MX"/>
              </w:rPr>
            </w:pPr>
            <w:r w:rsidRPr="00A21278">
              <w:rPr>
                <w:color w:val="333333"/>
                <w:sz w:val="22"/>
                <w:szCs w:val="22"/>
                <w:lang w:val="es-MX"/>
              </w:rPr>
              <w:t xml:space="preserve">Southwest </w:t>
            </w:r>
            <w:r w:rsidR="00971614" w:rsidRPr="00A21278">
              <w:rPr>
                <w:color w:val="333333"/>
                <w:sz w:val="22"/>
                <w:szCs w:val="22"/>
                <w:lang w:val="es-MX"/>
              </w:rPr>
              <w:t xml:space="preserve">Region </w:t>
            </w:r>
            <w:r w:rsidRPr="00A21278">
              <w:rPr>
                <w:color w:val="333333"/>
                <w:sz w:val="22"/>
                <w:szCs w:val="22"/>
                <w:lang w:val="es-MX"/>
              </w:rPr>
              <w:t>5</w:t>
            </w:r>
          </w:p>
          <w:p w:rsidR="00A62570" w:rsidRPr="00A21278" w:rsidRDefault="00A62570" w:rsidP="00971614">
            <w:pPr>
              <w:rPr>
                <w:b/>
                <w:i/>
                <w:lang w:val="es-MX"/>
              </w:rPr>
            </w:pPr>
            <w:r w:rsidRPr="00A21278">
              <w:rPr>
                <w:sz w:val="16"/>
                <w:szCs w:val="16"/>
                <w:lang w:val="es-MX"/>
              </w:rPr>
              <w:t>Catron, Dona Ana, Grant, Hidalgo, Luna, Sierra, Socorro, Lincoln , Otero</w:t>
            </w:r>
          </w:p>
        </w:tc>
        <w:tc>
          <w:tcPr>
            <w:tcW w:w="1080" w:type="dxa"/>
            <w:vAlign w:val="center"/>
          </w:tcPr>
          <w:p w:rsidR="00EB2DC6" w:rsidRPr="00CC5835" w:rsidRDefault="00FA3082" w:rsidP="008A6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</w:tr>
      <w:tr w:rsidR="0067016E" w:rsidRPr="00D006AA" w:rsidTr="008A61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5220" w:type="dxa"/>
          </w:tcPr>
          <w:p w:rsidR="0067016E" w:rsidRPr="00CC5835" w:rsidRDefault="0067016E" w:rsidP="0067016E">
            <w:pPr>
              <w:jc w:val="right"/>
              <w:rPr>
                <w:b/>
                <w:color w:val="333333"/>
                <w:sz w:val="22"/>
                <w:szCs w:val="22"/>
              </w:rPr>
            </w:pPr>
            <w:r w:rsidRPr="00CC5835">
              <w:rPr>
                <w:b/>
                <w:color w:val="333333"/>
                <w:sz w:val="22"/>
                <w:szCs w:val="22"/>
              </w:rPr>
              <w:t>Total Statewide Slots Available</w:t>
            </w:r>
          </w:p>
        </w:tc>
        <w:tc>
          <w:tcPr>
            <w:tcW w:w="1080" w:type="dxa"/>
            <w:vAlign w:val="center"/>
          </w:tcPr>
          <w:p w:rsidR="0067016E" w:rsidRPr="00CC5835" w:rsidRDefault="001236A0" w:rsidP="00C93DC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C93DC8">
              <w:rPr>
                <w:b/>
                <w:sz w:val="22"/>
                <w:szCs w:val="22"/>
              </w:rPr>
              <w:t>9</w:t>
            </w:r>
          </w:p>
        </w:tc>
      </w:tr>
    </w:tbl>
    <w:p w:rsidR="00EB2DC6" w:rsidRPr="00652C2D" w:rsidRDefault="00EB2DC6" w:rsidP="00894562">
      <w:pPr>
        <w:shd w:val="clear" w:color="auto" w:fill="FFFFFF"/>
        <w:spacing w:before="75" w:after="75"/>
        <w:ind w:left="504" w:right="144"/>
        <w:rPr>
          <w:color w:val="333333"/>
          <w:sz w:val="16"/>
          <w:szCs w:val="16"/>
        </w:rPr>
      </w:pPr>
    </w:p>
    <w:p w:rsidR="00D84525" w:rsidRPr="00894562" w:rsidRDefault="00F97B78" w:rsidP="00894562">
      <w:pPr>
        <w:pStyle w:val="ListParagraph"/>
        <w:numPr>
          <w:ilvl w:val="0"/>
          <w:numId w:val="1"/>
        </w:numPr>
        <w:rPr>
          <w:b/>
        </w:rPr>
      </w:pPr>
      <w:r w:rsidRPr="00894562">
        <w:rPr>
          <w:b/>
        </w:rPr>
        <w:t>Participant Levels</w:t>
      </w:r>
      <w:r w:rsidR="00665D1C" w:rsidRPr="00894562">
        <w:rPr>
          <w:b/>
        </w:rPr>
        <w:t xml:space="preserve"> and Expenditures</w:t>
      </w:r>
    </w:p>
    <w:p w:rsidR="00D84525" w:rsidRDefault="00D84525" w:rsidP="00D84525">
      <w:pPr>
        <w:ind w:left="360"/>
        <w:rPr>
          <w:b/>
        </w:rPr>
      </w:pPr>
    </w:p>
    <w:tbl>
      <w:tblPr>
        <w:tblStyle w:val="TableList3"/>
        <w:tblW w:w="6359" w:type="dxa"/>
        <w:tblInd w:w="1104" w:type="dxa"/>
        <w:tblLook w:val="01E0" w:firstRow="1" w:lastRow="1" w:firstColumn="1" w:lastColumn="1" w:noHBand="0" w:noVBand="0"/>
      </w:tblPr>
      <w:tblGrid>
        <w:gridCol w:w="2099"/>
        <w:gridCol w:w="2130"/>
        <w:gridCol w:w="2130"/>
      </w:tblGrid>
      <w:tr w:rsidR="00FF6B82" w:rsidTr="00704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tcW w:w="2099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FF6B82" w:rsidRPr="003350DA" w:rsidRDefault="00FF6B82" w:rsidP="00FF6B82">
            <w:pPr>
              <w:rPr>
                <w:color w:val="auto"/>
              </w:rPr>
            </w:pPr>
            <w:r>
              <w:rPr>
                <w:color w:val="auto"/>
              </w:rPr>
              <w:t>SFY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FF6B82" w:rsidRPr="003350DA" w:rsidRDefault="009E52B7" w:rsidP="0088709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Average Monthly</w:t>
            </w:r>
            <w:r w:rsidR="00FF6B82">
              <w:rPr>
                <w:color w:val="auto"/>
              </w:rPr>
              <w:t xml:space="preserve"> Households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FF6B82" w:rsidRPr="009E52B7" w:rsidRDefault="00D93E72" w:rsidP="0097161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Total </w:t>
            </w:r>
            <w:r w:rsidR="00FF6B82" w:rsidRPr="009E52B7">
              <w:rPr>
                <w:color w:val="auto"/>
              </w:rPr>
              <w:t>Expenditures</w:t>
            </w:r>
          </w:p>
        </w:tc>
      </w:tr>
      <w:tr w:rsidR="001236A0" w:rsidRPr="001236A0" w:rsidTr="00704495">
        <w:trPr>
          <w:trHeight w:val="279"/>
        </w:trPr>
        <w:tc>
          <w:tcPr>
            <w:tcW w:w="2099" w:type="dxa"/>
            <w:tcBorders>
              <w:top w:val="single" w:sz="8" w:space="0" w:color="000000"/>
              <w:bottom w:val="single" w:sz="8" w:space="0" w:color="000000"/>
            </w:tcBorders>
          </w:tcPr>
          <w:p w:rsidR="001236A0" w:rsidRPr="00705B5A" w:rsidRDefault="001236A0" w:rsidP="00887096">
            <w:pPr>
              <w:rPr>
                <w:b/>
                <w:sz w:val="22"/>
                <w:szCs w:val="22"/>
              </w:rPr>
            </w:pPr>
            <w:r w:rsidRPr="00705B5A">
              <w:rPr>
                <w:b/>
                <w:sz w:val="22"/>
                <w:szCs w:val="22"/>
              </w:rPr>
              <w:t>2013 YTD</w:t>
            </w:r>
            <w:r w:rsidR="00705B5A" w:rsidRPr="00705B5A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</w:tcBorders>
          </w:tcPr>
          <w:p w:rsidR="001236A0" w:rsidRPr="00705B5A" w:rsidRDefault="00705B5A" w:rsidP="00166457">
            <w:pPr>
              <w:jc w:val="center"/>
              <w:rPr>
                <w:sz w:val="22"/>
                <w:szCs w:val="22"/>
              </w:rPr>
            </w:pPr>
            <w:r w:rsidRPr="00705B5A">
              <w:rPr>
                <w:sz w:val="22"/>
                <w:szCs w:val="22"/>
              </w:rPr>
              <w:t>3</w:t>
            </w:r>
            <w:r w:rsidR="00166457">
              <w:rPr>
                <w:sz w:val="22"/>
                <w:szCs w:val="22"/>
              </w:rPr>
              <w:t>26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</w:tcBorders>
          </w:tcPr>
          <w:p w:rsidR="001236A0" w:rsidRPr="00705B5A" w:rsidRDefault="00166457" w:rsidP="00166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$1,270,589</w:t>
            </w:r>
          </w:p>
        </w:tc>
      </w:tr>
      <w:tr w:rsidR="00F5553A" w:rsidRPr="00D006AA" w:rsidTr="00704495">
        <w:trPr>
          <w:trHeight w:val="279"/>
        </w:trPr>
        <w:tc>
          <w:tcPr>
            <w:tcW w:w="2099" w:type="dxa"/>
            <w:tcBorders>
              <w:top w:val="single" w:sz="8" w:space="0" w:color="000000"/>
              <w:bottom w:val="single" w:sz="8" w:space="0" w:color="000000"/>
            </w:tcBorders>
          </w:tcPr>
          <w:p w:rsidR="00F5553A" w:rsidRPr="00705B5A" w:rsidRDefault="00F5553A" w:rsidP="00887096">
            <w:pPr>
              <w:rPr>
                <w:b/>
                <w:sz w:val="22"/>
                <w:szCs w:val="22"/>
              </w:rPr>
            </w:pPr>
            <w:r w:rsidRPr="00705B5A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</w:tcBorders>
          </w:tcPr>
          <w:p w:rsidR="00F5553A" w:rsidRPr="00705B5A" w:rsidRDefault="00705B5A" w:rsidP="00887096">
            <w:pPr>
              <w:jc w:val="center"/>
              <w:rPr>
                <w:sz w:val="22"/>
                <w:szCs w:val="22"/>
              </w:rPr>
            </w:pPr>
            <w:r w:rsidRPr="00705B5A">
              <w:rPr>
                <w:sz w:val="22"/>
                <w:szCs w:val="22"/>
              </w:rPr>
              <w:t>284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</w:tcBorders>
          </w:tcPr>
          <w:p w:rsidR="00F5553A" w:rsidRPr="00705B5A" w:rsidRDefault="00F5553A" w:rsidP="001236A0">
            <w:pPr>
              <w:jc w:val="center"/>
              <w:rPr>
                <w:sz w:val="22"/>
                <w:szCs w:val="22"/>
              </w:rPr>
            </w:pPr>
            <w:r w:rsidRPr="00705B5A">
              <w:rPr>
                <w:sz w:val="22"/>
                <w:szCs w:val="22"/>
              </w:rPr>
              <w:t>$</w:t>
            </w:r>
            <w:r w:rsidR="00705B5A" w:rsidRPr="00705B5A">
              <w:rPr>
                <w:sz w:val="22"/>
                <w:szCs w:val="22"/>
              </w:rPr>
              <w:t>1,194606</w:t>
            </w:r>
          </w:p>
        </w:tc>
      </w:tr>
      <w:tr w:rsidR="00D93E72" w:rsidRPr="00D006AA" w:rsidTr="00704495">
        <w:trPr>
          <w:trHeight w:val="279"/>
        </w:trPr>
        <w:tc>
          <w:tcPr>
            <w:tcW w:w="2099" w:type="dxa"/>
            <w:tcBorders>
              <w:top w:val="single" w:sz="8" w:space="0" w:color="000000"/>
              <w:bottom w:val="single" w:sz="8" w:space="0" w:color="000000"/>
            </w:tcBorders>
          </w:tcPr>
          <w:p w:rsidR="00D93E72" w:rsidRPr="00894562" w:rsidRDefault="00D93E72" w:rsidP="00F5553A">
            <w:pPr>
              <w:rPr>
                <w:b/>
                <w:sz w:val="22"/>
                <w:szCs w:val="22"/>
              </w:rPr>
            </w:pPr>
            <w:r w:rsidRPr="00894562">
              <w:rPr>
                <w:b/>
                <w:sz w:val="22"/>
                <w:szCs w:val="22"/>
              </w:rPr>
              <w:t xml:space="preserve">2011 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</w:tcBorders>
          </w:tcPr>
          <w:p w:rsidR="00D93E72" w:rsidRPr="00894562" w:rsidRDefault="00F5553A" w:rsidP="00887096">
            <w:pPr>
              <w:jc w:val="center"/>
              <w:rPr>
                <w:sz w:val="22"/>
                <w:szCs w:val="22"/>
              </w:rPr>
            </w:pPr>
            <w:r w:rsidRPr="00894562">
              <w:rPr>
                <w:sz w:val="22"/>
                <w:szCs w:val="22"/>
              </w:rPr>
              <w:t>352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</w:tcBorders>
          </w:tcPr>
          <w:p w:rsidR="00D93E72" w:rsidRPr="00894562" w:rsidRDefault="00D93E72" w:rsidP="00F5553A">
            <w:pPr>
              <w:jc w:val="center"/>
              <w:rPr>
                <w:sz w:val="22"/>
                <w:szCs w:val="22"/>
              </w:rPr>
            </w:pPr>
            <w:r w:rsidRPr="00894562">
              <w:rPr>
                <w:sz w:val="22"/>
                <w:szCs w:val="22"/>
              </w:rPr>
              <w:t>$</w:t>
            </w:r>
            <w:r w:rsidR="00F5553A" w:rsidRPr="00894562">
              <w:rPr>
                <w:sz w:val="22"/>
                <w:szCs w:val="22"/>
              </w:rPr>
              <w:t>1,654,458</w:t>
            </w:r>
          </w:p>
        </w:tc>
      </w:tr>
      <w:tr w:rsidR="00D93E72" w:rsidRPr="00D006AA" w:rsidTr="00704495">
        <w:trPr>
          <w:trHeight w:val="279"/>
        </w:trPr>
        <w:tc>
          <w:tcPr>
            <w:tcW w:w="2099" w:type="dxa"/>
            <w:tcBorders>
              <w:top w:val="single" w:sz="8" w:space="0" w:color="000000"/>
              <w:bottom w:val="single" w:sz="8" w:space="0" w:color="000000"/>
            </w:tcBorders>
          </w:tcPr>
          <w:p w:rsidR="00D93E72" w:rsidRPr="00894562" w:rsidRDefault="00D93E72" w:rsidP="00887096">
            <w:pPr>
              <w:rPr>
                <w:b/>
                <w:sz w:val="22"/>
                <w:szCs w:val="22"/>
              </w:rPr>
            </w:pPr>
            <w:r w:rsidRPr="00894562"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</w:tcBorders>
          </w:tcPr>
          <w:p w:rsidR="00D93E72" w:rsidRPr="00894562" w:rsidRDefault="00D93E72" w:rsidP="00887096">
            <w:pPr>
              <w:jc w:val="center"/>
              <w:rPr>
                <w:sz w:val="22"/>
                <w:szCs w:val="22"/>
              </w:rPr>
            </w:pPr>
            <w:r w:rsidRPr="00894562">
              <w:rPr>
                <w:sz w:val="22"/>
                <w:szCs w:val="22"/>
              </w:rPr>
              <w:t>378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</w:tcBorders>
          </w:tcPr>
          <w:p w:rsidR="00D93E72" w:rsidRPr="00894562" w:rsidRDefault="00D93E72" w:rsidP="00887096">
            <w:pPr>
              <w:jc w:val="center"/>
              <w:rPr>
                <w:sz w:val="22"/>
                <w:szCs w:val="22"/>
              </w:rPr>
            </w:pPr>
            <w:r w:rsidRPr="00894562">
              <w:rPr>
                <w:sz w:val="22"/>
                <w:szCs w:val="22"/>
              </w:rPr>
              <w:t>$1,902,466</w:t>
            </w:r>
          </w:p>
        </w:tc>
      </w:tr>
      <w:tr w:rsidR="00FF6B82" w:rsidRPr="00D006AA" w:rsidTr="00704495">
        <w:trPr>
          <w:trHeight w:val="279"/>
        </w:trPr>
        <w:tc>
          <w:tcPr>
            <w:tcW w:w="2099" w:type="dxa"/>
            <w:tcBorders>
              <w:top w:val="single" w:sz="8" w:space="0" w:color="000000"/>
              <w:bottom w:val="single" w:sz="8" w:space="0" w:color="000000"/>
            </w:tcBorders>
          </w:tcPr>
          <w:p w:rsidR="00FF6B82" w:rsidRPr="00894562" w:rsidRDefault="00FF6B82" w:rsidP="00887096">
            <w:pPr>
              <w:rPr>
                <w:b/>
                <w:sz w:val="22"/>
                <w:szCs w:val="22"/>
              </w:rPr>
            </w:pPr>
            <w:r w:rsidRPr="00894562">
              <w:rPr>
                <w:b/>
                <w:sz w:val="22"/>
                <w:szCs w:val="22"/>
              </w:rPr>
              <w:t>2009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</w:tcBorders>
          </w:tcPr>
          <w:p w:rsidR="00FF6B82" w:rsidRPr="00894562" w:rsidRDefault="00D93E72" w:rsidP="00887096">
            <w:pPr>
              <w:jc w:val="center"/>
              <w:rPr>
                <w:sz w:val="22"/>
                <w:szCs w:val="22"/>
              </w:rPr>
            </w:pPr>
            <w:r w:rsidRPr="00894562">
              <w:rPr>
                <w:sz w:val="22"/>
                <w:szCs w:val="22"/>
              </w:rPr>
              <w:t>545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</w:tcBorders>
          </w:tcPr>
          <w:p w:rsidR="00FF6B82" w:rsidRPr="00894562" w:rsidRDefault="00FF6B82" w:rsidP="00D93E72">
            <w:pPr>
              <w:jc w:val="center"/>
              <w:rPr>
                <w:sz w:val="22"/>
                <w:szCs w:val="22"/>
              </w:rPr>
            </w:pPr>
            <w:r w:rsidRPr="00894562">
              <w:rPr>
                <w:sz w:val="22"/>
                <w:szCs w:val="22"/>
              </w:rPr>
              <w:t>$</w:t>
            </w:r>
            <w:r w:rsidR="009E52B7" w:rsidRPr="00894562">
              <w:rPr>
                <w:sz w:val="22"/>
                <w:szCs w:val="22"/>
              </w:rPr>
              <w:t>2,</w:t>
            </w:r>
            <w:r w:rsidR="00D93E72" w:rsidRPr="00894562">
              <w:rPr>
                <w:sz w:val="22"/>
                <w:szCs w:val="22"/>
              </w:rPr>
              <w:t>575,903</w:t>
            </w:r>
          </w:p>
        </w:tc>
      </w:tr>
      <w:tr w:rsidR="00FF6B82" w:rsidRPr="00D006AA" w:rsidTr="0070449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2099" w:type="dxa"/>
            <w:tcBorders>
              <w:top w:val="single" w:sz="8" w:space="0" w:color="000000"/>
              <w:bottom w:val="single" w:sz="8" w:space="0" w:color="000000"/>
            </w:tcBorders>
          </w:tcPr>
          <w:p w:rsidR="00FF6B82" w:rsidRPr="000464AA" w:rsidRDefault="00FF6B82" w:rsidP="00887096">
            <w:pPr>
              <w:rPr>
                <w:b/>
                <w:i w:val="0"/>
                <w:sz w:val="22"/>
                <w:szCs w:val="22"/>
              </w:rPr>
            </w:pPr>
            <w:r w:rsidRPr="000464AA">
              <w:rPr>
                <w:b/>
                <w:i w:val="0"/>
                <w:color w:val="auto"/>
                <w:sz w:val="22"/>
                <w:szCs w:val="22"/>
              </w:rPr>
              <w:t>2008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</w:tcBorders>
          </w:tcPr>
          <w:p w:rsidR="00FF6B82" w:rsidRPr="00894562" w:rsidRDefault="00FF6B82" w:rsidP="0088709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94562">
              <w:rPr>
                <w:sz w:val="22"/>
                <w:szCs w:val="22"/>
              </w:rPr>
              <w:t>371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</w:tcBorders>
          </w:tcPr>
          <w:p w:rsidR="00FF6B82" w:rsidRPr="00894562" w:rsidRDefault="00D93E72" w:rsidP="0088709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94562">
              <w:rPr>
                <w:sz w:val="22"/>
                <w:szCs w:val="22"/>
              </w:rPr>
              <w:t>$1,685,</w:t>
            </w:r>
            <w:r w:rsidR="00FF6B82" w:rsidRPr="00894562">
              <w:rPr>
                <w:sz w:val="22"/>
                <w:szCs w:val="22"/>
              </w:rPr>
              <w:t>4</w:t>
            </w:r>
            <w:r w:rsidRPr="00894562">
              <w:rPr>
                <w:sz w:val="22"/>
                <w:szCs w:val="22"/>
              </w:rPr>
              <w:t>49</w:t>
            </w:r>
          </w:p>
        </w:tc>
      </w:tr>
    </w:tbl>
    <w:p w:rsidR="00D93E72" w:rsidRPr="00894562" w:rsidRDefault="00D93E72" w:rsidP="00894562">
      <w:pPr>
        <w:ind w:left="720" w:firstLine="720"/>
        <w:rPr>
          <w:sz w:val="16"/>
          <w:szCs w:val="16"/>
        </w:rPr>
      </w:pPr>
      <w:r w:rsidRPr="00894562">
        <w:rPr>
          <w:sz w:val="16"/>
          <w:szCs w:val="16"/>
        </w:rPr>
        <w:t>*</w:t>
      </w:r>
      <w:r w:rsidR="00705B5A">
        <w:rPr>
          <w:sz w:val="16"/>
          <w:szCs w:val="16"/>
        </w:rPr>
        <w:t xml:space="preserve">As of </w:t>
      </w:r>
      <w:r w:rsidR="00B1509C">
        <w:rPr>
          <w:sz w:val="16"/>
          <w:szCs w:val="16"/>
        </w:rPr>
        <w:t>November 2013</w:t>
      </w:r>
      <w:r w:rsidRPr="00894562">
        <w:rPr>
          <w:sz w:val="16"/>
          <w:szCs w:val="16"/>
        </w:rPr>
        <w:t>.</w:t>
      </w:r>
    </w:p>
    <w:p w:rsidR="002D44C8" w:rsidRDefault="002D44C8" w:rsidP="00D93E72">
      <w:pPr>
        <w:rPr>
          <w:sz w:val="22"/>
          <w:szCs w:val="22"/>
        </w:rPr>
      </w:pPr>
    </w:p>
    <w:p w:rsidR="00894562" w:rsidRPr="00894562" w:rsidRDefault="002D44C8" w:rsidP="00894562">
      <w:pPr>
        <w:pStyle w:val="ListParagraph"/>
        <w:numPr>
          <w:ilvl w:val="0"/>
          <w:numId w:val="1"/>
        </w:numPr>
        <w:tabs>
          <w:tab w:val="clear" w:pos="720"/>
          <w:tab w:val="num" w:pos="450"/>
        </w:tabs>
        <w:ind w:hanging="720"/>
      </w:pPr>
      <w:r w:rsidRPr="002D44C8">
        <w:t xml:space="preserve"> </w:t>
      </w:r>
      <w:r w:rsidR="00894562">
        <w:t>C</w:t>
      </w:r>
      <w:r w:rsidRPr="002D44C8">
        <w:rPr>
          <w:b/>
        </w:rPr>
        <w:t>ontact</w:t>
      </w:r>
      <w:r w:rsidR="00894562">
        <w:rPr>
          <w:b/>
        </w:rPr>
        <w:t xml:space="preserve"> Information</w:t>
      </w:r>
    </w:p>
    <w:p w:rsidR="00704495" w:rsidRDefault="00704495" w:rsidP="00894562">
      <w:pPr>
        <w:pStyle w:val="ListParagraph"/>
        <w:ind w:left="540"/>
      </w:pPr>
    </w:p>
    <w:p w:rsidR="002D44C8" w:rsidRPr="005C5104" w:rsidRDefault="002B6477" w:rsidP="00894562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Constance Averett</w:t>
      </w:r>
      <w:r w:rsidR="002D44C8" w:rsidRPr="005C5104">
        <w:rPr>
          <w:sz w:val="22"/>
          <w:szCs w:val="22"/>
        </w:rPr>
        <w:t>,</w:t>
      </w:r>
      <w:r>
        <w:rPr>
          <w:sz w:val="22"/>
          <w:szCs w:val="22"/>
        </w:rPr>
        <w:t xml:space="preserve"> Acting</w:t>
      </w:r>
      <w:r w:rsidR="002D44C8" w:rsidRPr="005C5104">
        <w:rPr>
          <w:sz w:val="22"/>
          <w:szCs w:val="22"/>
        </w:rPr>
        <w:t xml:space="preserve"> </w:t>
      </w:r>
      <w:r w:rsidR="002C5987" w:rsidRPr="005C5104">
        <w:rPr>
          <w:sz w:val="22"/>
          <w:szCs w:val="22"/>
        </w:rPr>
        <w:t xml:space="preserve">Bureau </w:t>
      </w:r>
      <w:r w:rsidR="002D44C8" w:rsidRPr="005C5104">
        <w:rPr>
          <w:sz w:val="22"/>
          <w:szCs w:val="22"/>
        </w:rPr>
        <w:t>Chief</w:t>
      </w:r>
    </w:p>
    <w:p w:rsidR="002D44C8" w:rsidRPr="005C5104" w:rsidRDefault="002D44C8" w:rsidP="00894562">
      <w:pPr>
        <w:ind w:firstLine="540"/>
        <w:rPr>
          <w:sz w:val="22"/>
          <w:szCs w:val="22"/>
        </w:rPr>
      </w:pPr>
      <w:r w:rsidRPr="005C5104">
        <w:rPr>
          <w:sz w:val="22"/>
          <w:szCs w:val="22"/>
        </w:rPr>
        <w:t>Policy &amp; Program Development Bureau</w:t>
      </w:r>
      <w:r w:rsidR="005C5104" w:rsidRPr="005C5104">
        <w:rPr>
          <w:sz w:val="22"/>
          <w:szCs w:val="22"/>
        </w:rPr>
        <w:t xml:space="preserve">, </w:t>
      </w:r>
      <w:r w:rsidRPr="005C5104">
        <w:rPr>
          <w:sz w:val="22"/>
          <w:szCs w:val="22"/>
        </w:rPr>
        <w:t>Income Support Division</w:t>
      </w:r>
    </w:p>
    <w:p w:rsidR="005C5104" w:rsidRPr="005C5104" w:rsidRDefault="005C5104" w:rsidP="005C5104">
      <w:pPr>
        <w:ind w:firstLine="540"/>
        <w:rPr>
          <w:sz w:val="22"/>
          <w:szCs w:val="22"/>
        </w:rPr>
      </w:pPr>
      <w:r w:rsidRPr="005C5104">
        <w:rPr>
          <w:sz w:val="22"/>
          <w:szCs w:val="22"/>
        </w:rPr>
        <w:t>Office: (505) 827-7219</w:t>
      </w:r>
    </w:p>
    <w:p w:rsidR="005C5104" w:rsidRPr="005C5104" w:rsidRDefault="005C5104" w:rsidP="00894562">
      <w:pPr>
        <w:ind w:firstLine="540"/>
        <w:rPr>
          <w:sz w:val="22"/>
          <w:szCs w:val="22"/>
        </w:rPr>
      </w:pPr>
      <w:r w:rsidRPr="005C5104">
        <w:rPr>
          <w:sz w:val="22"/>
          <w:szCs w:val="22"/>
        </w:rPr>
        <w:t>Fax: (505) 827-7259</w:t>
      </w:r>
    </w:p>
    <w:p w:rsidR="002D44C8" w:rsidRPr="005C5104" w:rsidRDefault="005C5104" w:rsidP="00894562">
      <w:pPr>
        <w:ind w:firstLine="540"/>
        <w:rPr>
          <w:sz w:val="22"/>
          <w:szCs w:val="22"/>
        </w:rPr>
      </w:pPr>
      <w:r w:rsidRPr="005C5104">
        <w:rPr>
          <w:sz w:val="22"/>
          <w:szCs w:val="22"/>
        </w:rPr>
        <w:t xml:space="preserve">Email: </w:t>
      </w:r>
      <w:hyperlink r:id="rId10" w:history="1">
        <w:r w:rsidR="002B6477">
          <w:rPr>
            <w:rStyle w:val="Hyperlink"/>
            <w:sz w:val="22"/>
            <w:szCs w:val="22"/>
          </w:rPr>
          <w:t>constance.averett</w:t>
        </w:r>
        <w:r w:rsidR="002B6477" w:rsidRPr="005C5104">
          <w:rPr>
            <w:rStyle w:val="Hyperlink"/>
            <w:sz w:val="22"/>
            <w:szCs w:val="22"/>
          </w:rPr>
          <w:t xml:space="preserve"> </w:t>
        </w:r>
        <w:r w:rsidR="002D44C8" w:rsidRPr="005C5104">
          <w:rPr>
            <w:rStyle w:val="Hyperlink"/>
            <w:sz w:val="22"/>
            <w:szCs w:val="22"/>
          </w:rPr>
          <w:t>@state.nm.us</w:t>
        </w:r>
      </w:hyperlink>
    </w:p>
    <w:p w:rsidR="002D44C8" w:rsidRDefault="002D44C8" w:rsidP="002D44C8">
      <w:pPr>
        <w:pStyle w:val="ListParagraph"/>
        <w:ind w:left="4320"/>
        <w:rPr>
          <w:sz w:val="22"/>
          <w:szCs w:val="22"/>
        </w:rPr>
      </w:pPr>
    </w:p>
    <w:p w:rsidR="002D44C8" w:rsidRDefault="002D44C8" w:rsidP="002D44C8">
      <w:pPr>
        <w:pStyle w:val="ListParagraph"/>
        <w:ind w:left="4320"/>
        <w:rPr>
          <w:sz w:val="22"/>
          <w:szCs w:val="22"/>
        </w:rPr>
      </w:pPr>
    </w:p>
    <w:p w:rsidR="002D44C8" w:rsidRDefault="002D44C8" w:rsidP="002D44C8">
      <w:pPr>
        <w:pStyle w:val="ListParagraph"/>
        <w:ind w:left="4320"/>
        <w:rPr>
          <w:sz w:val="22"/>
          <w:szCs w:val="22"/>
        </w:rPr>
      </w:pPr>
    </w:p>
    <w:sectPr w:rsidR="002D44C8" w:rsidSect="001A65D1">
      <w:footerReference w:type="even" r:id="rId11"/>
      <w:footerReference w:type="default" r:id="rId12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0F" w:rsidRDefault="00D64D0F">
      <w:r>
        <w:separator/>
      </w:r>
    </w:p>
  </w:endnote>
  <w:endnote w:type="continuationSeparator" w:id="0">
    <w:p w:rsidR="00D64D0F" w:rsidRDefault="00D6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64" w:rsidRDefault="008B5B07" w:rsidP="00807C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47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4764">
      <w:rPr>
        <w:rStyle w:val="PageNumber"/>
        <w:noProof/>
      </w:rPr>
      <w:t>2</w:t>
    </w:r>
    <w:r>
      <w:rPr>
        <w:rStyle w:val="PageNumber"/>
      </w:rPr>
      <w:fldChar w:fldCharType="end"/>
    </w:r>
  </w:p>
  <w:p w:rsidR="00C74764" w:rsidRDefault="00C74764" w:rsidP="00807C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64" w:rsidRPr="00704495" w:rsidRDefault="00C74764" w:rsidP="00807CFF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704495">
      <w:rPr>
        <w:rStyle w:val="PageNumber"/>
        <w:sz w:val="22"/>
        <w:szCs w:val="22"/>
      </w:rPr>
      <w:t xml:space="preserve">Page </w:t>
    </w:r>
    <w:r w:rsidR="008B5B07" w:rsidRPr="00704495">
      <w:rPr>
        <w:rStyle w:val="PageNumber"/>
        <w:sz w:val="22"/>
        <w:szCs w:val="22"/>
      </w:rPr>
      <w:fldChar w:fldCharType="begin"/>
    </w:r>
    <w:r w:rsidRPr="00704495">
      <w:rPr>
        <w:rStyle w:val="PageNumber"/>
        <w:sz w:val="22"/>
        <w:szCs w:val="22"/>
      </w:rPr>
      <w:instrText xml:space="preserve">PAGE  </w:instrText>
    </w:r>
    <w:r w:rsidR="008B5B07" w:rsidRPr="00704495">
      <w:rPr>
        <w:rStyle w:val="PageNumber"/>
        <w:sz w:val="22"/>
        <w:szCs w:val="22"/>
      </w:rPr>
      <w:fldChar w:fldCharType="separate"/>
    </w:r>
    <w:r w:rsidR="00A7387C">
      <w:rPr>
        <w:rStyle w:val="PageNumber"/>
        <w:noProof/>
        <w:sz w:val="22"/>
        <w:szCs w:val="22"/>
      </w:rPr>
      <w:t>1</w:t>
    </w:r>
    <w:r w:rsidR="008B5B07" w:rsidRPr="00704495">
      <w:rPr>
        <w:rStyle w:val="PageNumber"/>
        <w:sz w:val="22"/>
        <w:szCs w:val="22"/>
      </w:rPr>
      <w:fldChar w:fldCharType="end"/>
    </w:r>
    <w:r w:rsidRPr="00704495">
      <w:rPr>
        <w:rStyle w:val="PageNumber"/>
        <w:sz w:val="22"/>
        <w:szCs w:val="22"/>
      </w:rPr>
      <w:t xml:space="preserve"> of </w:t>
    </w:r>
    <w:r w:rsidR="008B5B07" w:rsidRPr="00704495">
      <w:rPr>
        <w:rStyle w:val="PageNumber"/>
        <w:sz w:val="22"/>
        <w:szCs w:val="22"/>
      </w:rPr>
      <w:fldChar w:fldCharType="begin"/>
    </w:r>
    <w:r w:rsidRPr="00704495">
      <w:rPr>
        <w:rStyle w:val="PageNumber"/>
        <w:sz w:val="22"/>
        <w:szCs w:val="22"/>
      </w:rPr>
      <w:instrText xml:space="preserve"> NUMPAGES </w:instrText>
    </w:r>
    <w:r w:rsidR="008B5B07" w:rsidRPr="00704495">
      <w:rPr>
        <w:rStyle w:val="PageNumber"/>
        <w:sz w:val="22"/>
        <w:szCs w:val="22"/>
      </w:rPr>
      <w:fldChar w:fldCharType="separate"/>
    </w:r>
    <w:r w:rsidR="00A7387C">
      <w:rPr>
        <w:rStyle w:val="PageNumber"/>
        <w:noProof/>
        <w:sz w:val="22"/>
        <w:szCs w:val="22"/>
      </w:rPr>
      <w:t>2</w:t>
    </w:r>
    <w:r w:rsidR="008B5B07" w:rsidRPr="00704495">
      <w:rPr>
        <w:rStyle w:val="PageNumber"/>
        <w:sz w:val="22"/>
        <w:szCs w:val="22"/>
      </w:rPr>
      <w:fldChar w:fldCharType="end"/>
    </w:r>
  </w:p>
  <w:p w:rsidR="00C74764" w:rsidRPr="00704495" w:rsidRDefault="00FD7CF2" w:rsidP="00807CFF">
    <w:pPr>
      <w:pStyle w:val="Footer"/>
      <w:ind w:right="360"/>
      <w:rPr>
        <w:sz w:val="22"/>
        <w:szCs w:val="22"/>
      </w:rPr>
    </w:pPr>
    <w:r>
      <w:rPr>
        <w:sz w:val="22"/>
        <w:szCs w:val="22"/>
      </w:rPr>
      <w:t xml:space="preserve">Education Works Fact Sheet, </w:t>
    </w:r>
    <w:r w:rsidR="00C73AF3">
      <w:rPr>
        <w:sz w:val="22"/>
        <w:szCs w:val="22"/>
      </w:rPr>
      <w:t>updated 11.20.13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0F" w:rsidRDefault="00D64D0F">
      <w:r>
        <w:separator/>
      </w:r>
    </w:p>
  </w:footnote>
  <w:footnote w:type="continuationSeparator" w:id="0">
    <w:p w:rsidR="00D64D0F" w:rsidRDefault="00D6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4E0"/>
    <w:multiLevelType w:val="hybridMultilevel"/>
    <w:tmpl w:val="2474F55A"/>
    <w:lvl w:ilvl="0" w:tplc="040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5747D"/>
    <w:multiLevelType w:val="hybridMultilevel"/>
    <w:tmpl w:val="73F87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73754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41653A"/>
    <w:multiLevelType w:val="hybridMultilevel"/>
    <w:tmpl w:val="7F7ACFA2"/>
    <w:lvl w:ilvl="0" w:tplc="3AB0E30C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</w:rPr>
    </w:lvl>
    <w:lvl w:ilvl="1" w:tplc="3AB0E30C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Book Antiqua" w:hAnsi="Book Antiqu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B1470F"/>
    <w:multiLevelType w:val="hybridMultilevel"/>
    <w:tmpl w:val="91341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7F3A9D"/>
    <w:multiLevelType w:val="hybridMultilevel"/>
    <w:tmpl w:val="976CB898"/>
    <w:lvl w:ilvl="0" w:tplc="3EE07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CBD2D6BE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4E4869"/>
    <w:multiLevelType w:val="hybridMultilevel"/>
    <w:tmpl w:val="1B005814"/>
    <w:lvl w:ilvl="0" w:tplc="B15C8906">
      <w:start w:val="201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D9A44DB"/>
    <w:multiLevelType w:val="hybridMultilevel"/>
    <w:tmpl w:val="8B7E0CA2"/>
    <w:lvl w:ilvl="0" w:tplc="3AB0E30C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</w:rPr>
    </w:lvl>
    <w:lvl w:ilvl="1" w:tplc="00E6F698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5CE1422"/>
    <w:multiLevelType w:val="hybridMultilevel"/>
    <w:tmpl w:val="B7500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54"/>
    <w:rsid w:val="00004B2A"/>
    <w:rsid w:val="00010265"/>
    <w:rsid w:val="00013F43"/>
    <w:rsid w:val="0002188E"/>
    <w:rsid w:val="000464AA"/>
    <w:rsid w:val="000470EF"/>
    <w:rsid w:val="00047F62"/>
    <w:rsid w:val="00067C60"/>
    <w:rsid w:val="00070B15"/>
    <w:rsid w:val="00075C51"/>
    <w:rsid w:val="000C5927"/>
    <w:rsid w:val="000F29AE"/>
    <w:rsid w:val="00106A9C"/>
    <w:rsid w:val="001236A0"/>
    <w:rsid w:val="00137807"/>
    <w:rsid w:val="0014460A"/>
    <w:rsid w:val="00153F6D"/>
    <w:rsid w:val="00162906"/>
    <w:rsid w:val="00166457"/>
    <w:rsid w:val="00196815"/>
    <w:rsid w:val="001A65D1"/>
    <w:rsid w:val="001C5696"/>
    <w:rsid w:val="001C6795"/>
    <w:rsid w:val="001D2EFB"/>
    <w:rsid w:val="001E416D"/>
    <w:rsid w:val="00206B73"/>
    <w:rsid w:val="00221154"/>
    <w:rsid w:val="00264740"/>
    <w:rsid w:val="00275BCA"/>
    <w:rsid w:val="00281968"/>
    <w:rsid w:val="00286D54"/>
    <w:rsid w:val="002B6477"/>
    <w:rsid w:val="002C5987"/>
    <w:rsid w:val="002D164F"/>
    <w:rsid w:val="002D44C8"/>
    <w:rsid w:val="002F15C2"/>
    <w:rsid w:val="00312402"/>
    <w:rsid w:val="00314960"/>
    <w:rsid w:val="0033109F"/>
    <w:rsid w:val="00332F8B"/>
    <w:rsid w:val="003350DA"/>
    <w:rsid w:val="003459B8"/>
    <w:rsid w:val="003610F5"/>
    <w:rsid w:val="003817A9"/>
    <w:rsid w:val="003D4176"/>
    <w:rsid w:val="003E74F2"/>
    <w:rsid w:val="003F72AC"/>
    <w:rsid w:val="003F7FF3"/>
    <w:rsid w:val="00414886"/>
    <w:rsid w:val="0042533F"/>
    <w:rsid w:val="00426CA8"/>
    <w:rsid w:val="004419CB"/>
    <w:rsid w:val="0046748C"/>
    <w:rsid w:val="004744BC"/>
    <w:rsid w:val="00495F75"/>
    <w:rsid w:val="005049B8"/>
    <w:rsid w:val="0052224F"/>
    <w:rsid w:val="00561000"/>
    <w:rsid w:val="005837A4"/>
    <w:rsid w:val="005C5104"/>
    <w:rsid w:val="005C6B75"/>
    <w:rsid w:val="005D54C9"/>
    <w:rsid w:val="005E4786"/>
    <w:rsid w:val="005E5895"/>
    <w:rsid w:val="006134ED"/>
    <w:rsid w:val="00652C2D"/>
    <w:rsid w:val="00653E05"/>
    <w:rsid w:val="00661C86"/>
    <w:rsid w:val="00665D1C"/>
    <w:rsid w:val="0067016E"/>
    <w:rsid w:val="00671EE4"/>
    <w:rsid w:val="006758C8"/>
    <w:rsid w:val="0068267E"/>
    <w:rsid w:val="006829AD"/>
    <w:rsid w:val="006B30B0"/>
    <w:rsid w:val="00704495"/>
    <w:rsid w:val="00705B5A"/>
    <w:rsid w:val="0071101A"/>
    <w:rsid w:val="00716858"/>
    <w:rsid w:val="0071722D"/>
    <w:rsid w:val="00722B53"/>
    <w:rsid w:val="007233C1"/>
    <w:rsid w:val="007303F9"/>
    <w:rsid w:val="00731CE7"/>
    <w:rsid w:val="007352ED"/>
    <w:rsid w:val="007422BB"/>
    <w:rsid w:val="00757D62"/>
    <w:rsid w:val="00763974"/>
    <w:rsid w:val="00764FC4"/>
    <w:rsid w:val="007A3099"/>
    <w:rsid w:val="007A36F1"/>
    <w:rsid w:val="007A5251"/>
    <w:rsid w:val="007A5F8E"/>
    <w:rsid w:val="007B514B"/>
    <w:rsid w:val="007C1EF4"/>
    <w:rsid w:val="007F7571"/>
    <w:rsid w:val="00800048"/>
    <w:rsid w:val="008041C2"/>
    <w:rsid w:val="008065B8"/>
    <w:rsid w:val="00807CFF"/>
    <w:rsid w:val="00826975"/>
    <w:rsid w:val="008303B9"/>
    <w:rsid w:val="00844A87"/>
    <w:rsid w:val="00887096"/>
    <w:rsid w:val="00894562"/>
    <w:rsid w:val="008A6197"/>
    <w:rsid w:val="008B5B07"/>
    <w:rsid w:val="008C0442"/>
    <w:rsid w:val="008C0AFD"/>
    <w:rsid w:val="008F6AFD"/>
    <w:rsid w:val="00904B35"/>
    <w:rsid w:val="00907025"/>
    <w:rsid w:val="0091244C"/>
    <w:rsid w:val="0092143F"/>
    <w:rsid w:val="009215DF"/>
    <w:rsid w:val="0092277C"/>
    <w:rsid w:val="009249D3"/>
    <w:rsid w:val="00943C02"/>
    <w:rsid w:val="00963E3B"/>
    <w:rsid w:val="00971614"/>
    <w:rsid w:val="00977DA9"/>
    <w:rsid w:val="009835F8"/>
    <w:rsid w:val="00994FC0"/>
    <w:rsid w:val="009A1D71"/>
    <w:rsid w:val="009B35D0"/>
    <w:rsid w:val="009B58A5"/>
    <w:rsid w:val="009C78FE"/>
    <w:rsid w:val="009E52B7"/>
    <w:rsid w:val="009F3809"/>
    <w:rsid w:val="009F7493"/>
    <w:rsid w:val="00A21278"/>
    <w:rsid w:val="00A450BF"/>
    <w:rsid w:val="00A5645F"/>
    <w:rsid w:val="00A62570"/>
    <w:rsid w:val="00A7387C"/>
    <w:rsid w:val="00A95C97"/>
    <w:rsid w:val="00AE3A50"/>
    <w:rsid w:val="00AE4437"/>
    <w:rsid w:val="00AF4619"/>
    <w:rsid w:val="00B00054"/>
    <w:rsid w:val="00B1509C"/>
    <w:rsid w:val="00B22227"/>
    <w:rsid w:val="00B4145E"/>
    <w:rsid w:val="00B656C1"/>
    <w:rsid w:val="00B92FA7"/>
    <w:rsid w:val="00BA7193"/>
    <w:rsid w:val="00BB2F67"/>
    <w:rsid w:val="00BE4169"/>
    <w:rsid w:val="00BF0348"/>
    <w:rsid w:val="00C50525"/>
    <w:rsid w:val="00C62E6E"/>
    <w:rsid w:val="00C73AF3"/>
    <w:rsid w:val="00C74764"/>
    <w:rsid w:val="00C80C8D"/>
    <w:rsid w:val="00C93DC8"/>
    <w:rsid w:val="00CA095B"/>
    <w:rsid w:val="00CA387E"/>
    <w:rsid w:val="00CB0E0C"/>
    <w:rsid w:val="00CC5835"/>
    <w:rsid w:val="00CD4F9E"/>
    <w:rsid w:val="00CF706E"/>
    <w:rsid w:val="00D006AA"/>
    <w:rsid w:val="00D03DE8"/>
    <w:rsid w:val="00D305C8"/>
    <w:rsid w:val="00D32D73"/>
    <w:rsid w:val="00D360D0"/>
    <w:rsid w:val="00D3670C"/>
    <w:rsid w:val="00D400F6"/>
    <w:rsid w:val="00D649F0"/>
    <w:rsid w:val="00D64D0F"/>
    <w:rsid w:val="00D71282"/>
    <w:rsid w:val="00D72491"/>
    <w:rsid w:val="00D84525"/>
    <w:rsid w:val="00D87528"/>
    <w:rsid w:val="00D93E72"/>
    <w:rsid w:val="00DB02F3"/>
    <w:rsid w:val="00DD4AA5"/>
    <w:rsid w:val="00E059C8"/>
    <w:rsid w:val="00E27FFE"/>
    <w:rsid w:val="00E31EAA"/>
    <w:rsid w:val="00E401C8"/>
    <w:rsid w:val="00E51A3B"/>
    <w:rsid w:val="00E74AEE"/>
    <w:rsid w:val="00E7794D"/>
    <w:rsid w:val="00E947E8"/>
    <w:rsid w:val="00E95E68"/>
    <w:rsid w:val="00EA44C6"/>
    <w:rsid w:val="00EB2DC6"/>
    <w:rsid w:val="00F140C3"/>
    <w:rsid w:val="00F41E36"/>
    <w:rsid w:val="00F47D81"/>
    <w:rsid w:val="00F5553A"/>
    <w:rsid w:val="00F7033F"/>
    <w:rsid w:val="00F8730D"/>
    <w:rsid w:val="00F951B0"/>
    <w:rsid w:val="00F97B78"/>
    <w:rsid w:val="00FA3082"/>
    <w:rsid w:val="00FD7CF2"/>
    <w:rsid w:val="00FE08A1"/>
    <w:rsid w:val="00FF114D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0BF"/>
    <w:rPr>
      <w:sz w:val="24"/>
      <w:szCs w:val="24"/>
    </w:rPr>
  </w:style>
  <w:style w:type="paragraph" w:styleId="Heading4">
    <w:name w:val="heading 4"/>
    <w:basedOn w:val="Normal"/>
    <w:next w:val="Normal"/>
    <w:qFormat/>
    <w:rsid w:val="00162906"/>
    <w:pPr>
      <w:keepNext/>
      <w:outlineLvl w:val="3"/>
    </w:pPr>
    <w:rPr>
      <w:rFonts w:ascii="Arial" w:hAnsi="Arial"/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Acronym">
    <w:name w:val="HTML Acronym"/>
    <w:basedOn w:val="DefaultParagraphFont"/>
    <w:rsid w:val="00B00054"/>
  </w:style>
  <w:style w:type="paragraph" w:styleId="BalloonText">
    <w:name w:val="Balloon Text"/>
    <w:basedOn w:val="Normal"/>
    <w:semiHidden/>
    <w:rsid w:val="0041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7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">
    <w:name w:val="Table Grid 7"/>
    <w:basedOn w:val="TableNormal"/>
    <w:rsid w:val="00EB2DC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B2DC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E059C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807C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7CFF"/>
  </w:style>
  <w:style w:type="paragraph" w:styleId="Header">
    <w:name w:val="header"/>
    <w:basedOn w:val="Normal"/>
    <w:rsid w:val="00807CF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62906"/>
    <w:pPr>
      <w:jc w:val="both"/>
    </w:pPr>
    <w:rPr>
      <w:snapToGrid w:val="0"/>
      <w:sz w:val="20"/>
      <w:szCs w:val="20"/>
    </w:rPr>
  </w:style>
  <w:style w:type="paragraph" w:customStyle="1" w:styleId="2NormalBold">
    <w:name w:val="2Normal + Bold"/>
    <w:basedOn w:val="Normal"/>
    <w:rsid w:val="00EA44C6"/>
    <w:pPr>
      <w:tabs>
        <w:tab w:val="num" w:pos="720"/>
      </w:tabs>
      <w:ind w:left="720" w:hanging="360"/>
    </w:pPr>
    <w:rPr>
      <w:b/>
    </w:rPr>
  </w:style>
  <w:style w:type="paragraph" w:styleId="ListParagraph">
    <w:name w:val="List Paragraph"/>
    <w:basedOn w:val="Normal"/>
    <w:uiPriority w:val="34"/>
    <w:qFormat/>
    <w:rsid w:val="00D93E7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D44C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0BF"/>
    <w:rPr>
      <w:sz w:val="24"/>
      <w:szCs w:val="24"/>
    </w:rPr>
  </w:style>
  <w:style w:type="paragraph" w:styleId="Heading4">
    <w:name w:val="heading 4"/>
    <w:basedOn w:val="Normal"/>
    <w:next w:val="Normal"/>
    <w:qFormat/>
    <w:rsid w:val="00162906"/>
    <w:pPr>
      <w:keepNext/>
      <w:outlineLvl w:val="3"/>
    </w:pPr>
    <w:rPr>
      <w:rFonts w:ascii="Arial" w:hAnsi="Arial"/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Acronym">
    <w:name w:val="HTML Acronym"/>
    <w:basedOn w:val="DefaultParagraphFont"/>
    <w:rsid w:val="00B00054"/>
  </w:style>
  <w:style w:type="paragraph" w:styleId="BalloonText">
    <w:name w:val="Balloon Text"/>
    <w:basedOn w:val="Normal"/>
    <w:semiHidden/>
    <w:rsid w:val="0041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7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">
    <w:name w:val="Table Grid 7"/>
    <w:basedOn w:val="TableNormal"/>
    <w:rsid w:val="00EB2DC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B2DC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E059C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807C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7CFF"/>
  </w:style>
  <w:style w:type="paragraph" w:styleId="Header">
    <w:name w:val="header"/>
    <w:basedOn w:val="Normal"/>
    <w:rsid w:val="00807CF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62906"/>
    <w:pPr>
      <w:jc w:val="both"/>
    </w:pPr>
    <w:rPr>
      <w:snapToGrid w:val="0"/>
      <w:sz w:val="20"/>
      <w:szCs w:val="20"/>
    </w:rPr>
  </w:style>
  <w:style w:type="paragraph" w:customStyle="1" w:styleId="2NormalBold">
    <w:name w:val="2Normal + Bold"/>
    <w:basedOn w:val="Normal"/>
    <w:rsid w:val="00EA44C6"/>
    <w:pPr>
      <w:tabs>
        <w:tab w:val="num" w:pos="720"/>
      </w:tabs>
      <w:ind w:left="720" w:hanging="360"/>
    </w:pPr>
    <w:rPr>
      <w:b/>
    </w:rPr>
  </w:style>
  <w:style w:type="paragraph" w:styleId="ListParagraph">
    <w:name w:val="List Paragraph"/>
    <w:basedOn w:val="Normal"/>
    <w:uiPriority w:val="34"/>
    <w:qFormat/>
    <w:rsid w:val="00D93E7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D44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5">
          <w:marLeft w:val="0"/>
          <w:marRight w:val="0"/>
          <w:marTop w:val="0"/>
          <w:marBottom w:val="0"/>
          <w:divBdr>
            <w:top w:val="single" w:sz="6" w:space="0" w:color="003366"/>
            <w:left w:val="single" w:sz="6" w:space="0" w:color="003366"/>
            <w:bottom w:val="single" w:sz="6" w:space="4" w:color="003366"/>
            <w:right w:val="single" w:sz="6" w:space="0" w:color="003366"/>
          </w:divBdr>
          <w:divsChild>
            <w:div w:id="168069572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0781">
                  <w:marLeft w:val="0"/>
                  <w:marRight w:val="0"/>
                  <w:marTop w:val="0"/>
                  <w:marBottom w:val="0"/>
                  <w:divBdr>
                    <w:top w:val="single" w:sz="6" w:space="4" w:color="336699"/>
                    <w:left w:val="single" w:sz="6" w:space="4" w:color="336699"/>
                    <w:bottom w:val="single" w:sz="6" w:space="8" w:color="336699"/>
                    <w:right w:val="single" w:sz="6" w:space="4" w:color="336699"/>
                  </w:divBdr>
                </w:div>
              </w:divsChild>
            </w:div>
          </w:divsChild>
        </w:div>
      </w:divsChild>
    </w:div>
    <w:div w:id="134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ida.Tapia-Sanchez@state.nm.u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6DEA7-06A3-4426-B5EF-6D76855C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458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General Assistance Program</vt:lpstr>
    </vt:vector>
  </TitlesOfParts>
  <Company>HSD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General Assistance Program</dc:title>
  <dc:creator>Ted Roth</dc:creator>
  <cp:lastModifiedBy>Jonni Lu Pool</cp:lastModifiedBy>
  <cp:revision>10</cp:revision>
  <cp:lastPrinted>2014-01-04T20:38:00Z</cp:lastPrinted>
  <dcterms:created xsi:type="dcterms:W3CDTF">2013-12-02T02:20:00Z</dcterms:created>
  <dcterms:modified xsi:type="dcterms:W3CDTF">2014-01-04T20:39:00Z</dcterms:modified>
</cp:coreProperties>
</file>