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CE2" w:rsidRPr="00AC5CE2" w:rsidRDefault="00AC5CE2" w:rsidP="00E7753A">
      <w:pPr>
        <w:spacing w:after="120"/>
        <w:ind w:left="-630"/>
        <w:rPr>
          <w:sz w:val="22"/>
          <w:szCs w:val="22"/>
        </w:rPr>
      </w:pPr>
      <w:bookmarkStart w:id="0" w:name="_GoBack"/>
      <w:bookmarkEnd w:id="0"/>
      <w:r w:rsidRPr="00AC5CE2">
        <w:rPr>
          <w:sz w:val="22"/>
          <w:szCs w:val="22"/>
        </w:rPr>
        <w:t>The Developmental Disabilities Medicaid Waiver (</w:t>
      </w:r>
      <w:proofErr w:type="spellStart"/>
      <w:r w:rsidRPr="00AC5CE2">
        <w:rPr>
          <w:sz w:val="22"/>
          <w:szCs w:val="22"/>
        </w:rPr>
        <w:t>DDW</w:t>
      </w:r>
      <w:proofErr w:type="spellEnd"/>
      <w:r w:rsidRPr="00AC5CE2">
        <w:rPr>
          <w:sz w:val="22"/>
          <w:szCs w:val="22"/>
        </w:rPr>
        <w:t>) provides an array of home and community based services to help individuals with developmental disabilities live successfully in their community, become more independent</w:t>
      </w:r>
      <w:r w:rsidR="005B4E45">
        <w:rPr>
          <w:sz w:val="22"/>
          <w:szCs w:val="22"/>
        </w:rPr>
        <w:t>,</w:t>
      </w:r>
      <w:r w:rsidRPr="00AC5CE2">
        <w:rPr>
          <w:sz w:val="22"/>
          <w:szCs w:val="22"/>
        </w:rPr>
        <w:t xml:space="preserve"> and reach their personal goals. New Mexico has used waiver funding to support people with developmental disabilities for over 26 years.  The </w:t>
      </w:r>
      <w:proofErr w:type="spellStart"/>
      <w:r w:rsidRPr="00AC5CE2">
        <w:rPr>
          <w:sz w:val="22"/>
          <w:szCs w:val="22"/>
        </w:rPr>
        <w:t>DDW</w:t>
      </w:r>
      <w:proofErr w:type="spellEnd"/>
      <w:r w:rsidRPr="00AC5CE2">
        <w:rPr>
          <w:sz w:val="22"/>
          <w:szCs w:val="22"/>
        </w:rPr>
        <w:t xml:space="preserve"> is funded with state general funds and matched with federal funds from the Centers for Medicare and Medicaid Services (CMS).</w:t>
      </w:r>
    </w:p>
    <w:p w:rsidR="00AC5CE2" w:rsidRDefault="00AC5CE2" w:rsidP="00AC5CE2">
      <w:pPr>
        <w:pStyle w:val="NoSpacing"/>
        <w:rPr>
          <w:sz w:val="16"/>
          <w:szCs w:val="16"/>
        </w:rPr>
      </w:pPr>
    </w:p>
    <w:p w:rsidR="0044740E" w:rsidRPr="0062140D" w:rsidRDefault="0044740E" w:rsidP="00AC5CE2">
      <w:pPr>
        <w:pStyle w:val="NoSpacing"/>
        <w:rPr>
          <w:sz w:val="16"/>
          <w:szCs w:val="16"/>
        </w:rPr>
        <w:sectPr w:rsidR="0044740E" w:rsidRPr="0062140D" w:rsidSect="00385273">
          <w:headerReference w:type="default" r:id="rId9"/>
          <w:footerReference w:type="default" r:id="rId10"/>
          <w:type w:val="continuous"/>
          <w:pgSz w:w="12240" w:h="15840"/>
          <w:pgMar w:top="1230" w:right="720" w:bottom="1440" w:left="1800" w:header="270" w:footer="257" w:gutter="0"/>
          <w:cols w:space="720"/>
          <w:docGrid w:linePitch="360"/>
        </w:sectPr>
      </w:pPr>
    </w:p>
    <w:p w:rsidR="00953B77" w:rsidRPr="00953B77" w:rsidRDefault="00AC5CE2" w:rsidP="00953B77">
      <w:pPr>
        <w:rPr>
          <w:sz w:val="22"/>
          <w:szCs w:val="22"/>
        </w:rPr>
      </w:pPr>
      <w:r w:rsidRPr="00AC5CE2">
        <w:rPr>
          <w:b/>
          <w:smallCaps/>
          <w:color w:val="984806" w:themeColor="accent6" w:themeShade="80"/>
          <w:sz w:val="22"/>
          <w:szCs w:val="22"/>
          <w:u w:val="single"/>
        </w:rPr>
        <w:lastRenderedPageBreak/>
        <w:t>Background:</w:t>
      </w:r>
      <w:r w:rsidR="00953B77">
        <w:rPr>
          <w:sz w:val="22"/>
          <w:szCs w:val="22"/>
        </w:rPr>
        <w:t xml:space="preserve"> On May 1, </w:t>
      </w:r>
      <w:proofErr w:type="gramStart"/>
      <w:r w:rsidR="00953B77">
        <w:rPr>
          <w:sz w:val="22"/>
          <w:szCs w:val="22"/>
        </w:rPr>
        <w:t>2013</w:t>
      </w:r>
      <w:proofErr w:type="gramEnd"/>
      <w:r w:rsidR="00953B77">
        <w:rPr>
          <w:sz w:val="22"/>
          <w:szCs w:val="22"/>
        </w:rPr>
        <w:t xml:space="preserve"> the Department of Health (DOH) implemented the new waiver that was approved by the Centers for Medicare and Medicaid Services (CMS) approved on July 1, 2011.  </w:t>
      </w:r>
      <w:r w:rsidR="00953B77" w:rsidRPr="00953B77">
        <w:rPr>
          <w:sz w:val="22"/>
          <w:szCs w:val="22"/>
        </w:rPr>
        <w:t>The purpose of the new waiver is to transform the system into one that promotes independence, is cost effective, fair, and equitable to ensure its viability and sustainability for current users and the six thousand plus people waiting for services.</w:t>
      </w:r>
    </w:p>
    <w:p w:rsidR="00953B77" w:rsidRPr="00625630" w:rsidRDefault="00953B77" w:rsidP="00953B77">
      <w:pPr>
        <w:rPr>
          <w:sz w:val="16"/>
          <w:szCs w:val="16"/>
        </w:rPr>
      </w:pPr>
    </w:p>
    <w:p w:rsidR="00953B77" w:rsidRDefault="00953B77" w:rsidP="00953B77">
      <w:pPr>
        <w:rPr>
          <w:sz w:val="22"/>
          <w:szCs w:val="22"/>
        </w:rPr>
      </w:pPr>
      <w:r w:rsidRPr="00953B77">
        <w:rPr>
          <w:sz w:val="22"/>
          <w:szCs w:val="22"/>
        </w:rPr>
        <w:t xml:space="preserve">Part of the effort to transform the waiver system was to use a valid and reliable assessment tool, conduct a rate study and implement a resource allocation methodology </w:t>
      </w:r>
      <w:proofErr w:type="gramStart"/>
      <w:r w:rsidRPr="00953B77">
        <w:rPr>
          <w:sz w:val="22"/>
          <w:szCs w:val="22"/>
        </w:rPr>
        <w:t>to fairly and equitably distribute</w:t>
      </w:r>
      <w:proofErr w:type="gramEnd"/>
      <w:r w:rsidRPr="00953B77">
        <w:rPr>
          <w:sz w:val="22"/>
          <w:szCs w:val="22"/>
        </w:rPr>
        <w:t xml:space="preserve"> resource across all individuals on the </w:t>
      </w:r>
      <w:proofErr w:type="spellStart"/>
      <w:r w:rsidRPr="00953B77">
        <w:rPr>
          <w:sz w:val="22"/>
          <w:szCs w:val="22"/>
        </w:rPr>
        <w:t>DDW</w:t>
      </w:r>
      <w:proofErr w:type="spellEnd"/>
      <w:r w:rsidRPr="00953B77">
        <w:rPr>
          <w:sz w:val="22"/>
          <w:szCs w:val="22"/>
        </w:rPr>
        <w:t>.</w:t>
      </w:r>
    </w:p>
    <w:p w:rsidR="00953B77" w:rsidRPr="00625630" w:rsidRDefault="00953B77" w:rsidP="00953B77">
      <w:pPr>
        <w:rPr>
          <w:sz w:val="16"/>
          <w:szCs w:val="16"/>
        </w:rPr>
      </w:pPr>
    </w:p>
    <w:p w:rsidR="00385273" w:rsidRDefault="00953B77" w:rsidP="00953B77">
      <w:pPr>
        <w:rPr>
          <w:b/>
          <w:caps/>
          <w:color w:val="984806" w:themeColor="accent6" w:themeShade="80"/>
          <w:sz w:val="22"/>
          <w:szCs w:val="22"/>
        </w:rPr>
      </w:pPr>
      <w:r>
        <w:rPr>
          <w:b/>
          <w:smallCaps/>
          <w:color w:val="984806" w:themeColor="accent6" w:themeShade="80"/>
          <w:sz w:val="22"/>
          <w:szCs w:val="22"/>
          <w:u w:val="single"/>
        </w:rPr>
        <w:t>Key Highlights</w:t>
      </w:r>
      <w:r w:rsidRPr="00AC5CE2">
        <w:rPr>
          <w:b/>
          <w:smallCaps/>
          <w:color w:val="984806" w:themeColor="accent6" w:themeShade="80"/>
          <w:sz w:val="22"/>
          <w:szCs w:val="22"/>
          <w:u w:val="single"/>
        </w:rPr>
        <w:t>:</w:t>
      </w:r>
      <w:r w:rsidRPr="00AC5CE2">
        <w:rPr>
          <w:b/>
          <w:caps/>
          <w:color w:val="984806" w:themeColor="accent6" w:themeShade="80"/>
          <w:sz w:val="22"/>
          <w:szCs w:val="22"/>
        </w:rPr>
        <w:t xml:space="preserve"> </w:t>
      </w:r>
    </w:p>
    <w:p w:rsidR="00953B77" w:rsidRDefault="00953B77" w:rsidP="008E43B8">
      <w:pPr>
        <w:pStyle w:val="ListParagraph"/>
        <w:numPr>
          <w:ilvl w:val="0"/>
          <w:numId w:val="14"/>
        </w:numPr>
        <w:ind w:left="360"/>
        <w:rPr>
          <w:sz w:val="22"/>
          <w:szCs w:val="22"/>
        </w:rPr>
      </w:pPr>
      <w:proofErr w:type="gramStart"/>
      <w:r>
        <w:rPr>
          <w:sz w:val="22"/>
          <w:szCs w:val="22"/>
        </w:rPr>
        <w:t>89%</w:t>
      </w:r>
      <w:proofErr w:type="gramEnd"/>
      <w:r>
        <w:rPr>
          <w:sz w:val="22"/>
          <w:szCs w:val="22"/>
        </w:rPr>
        <w:t xml:space="preserve"> of individuals will receive the same amount of services they received in fiscal year (FY) 2012.</w:t>
      </w:r>
    </w:p>
    <w:p w:rsidR="00953B77" w:rsidRDefault="00953B77" w:rsidP="008E43B8">
      <w:pPr>
        <w:pStyle w:val="ListParagraph"/>
        <w:numPr>
          <w:ilvl w:val="0"/>
          <w:numId w:val="14"/>
        </w:numPr>
        <w:ind w:left="360"/>
        <w:rPr>
          <w:sz w:val="22"/>
          <w:szCs w:val="22"/>
        </w:rPr>
      </w:pPr>
      <w:r>
        <w:rPr>
          <w:sz w:val="22"/>
          <w:szCs w:val="22"/>
        </w:rPr>
        <w:t xml:space="preserve">Individuals with significant disabilities determined to need </w:t>
      </w:r>
      <w:proofErr w:type="gramStart"/>
      <w:r>
        <w:rPr>
          <w:sz w:val="22"/>
          <w:szCs w:val="22"/>
        </w:rPr>
        <w:t>24 hour</w:t>
      </w:r>
      <w:proofErr w:type="gramEnd"/>
      <w:r>
        <w:rPr>
          <w:sz w:val="22"/>
          <w:szCs w:val="22"/>
        </w:rPr>
        <w:t xml:space="preserve"> support will receive it based on their choice</w:t>
      </w:r>
      <w:r w:rsidR="008E43B8">
        <w:rPr>
          <w:sz w:val="22"/>
          <w:szCs w:val="22"/>
        </w:rPr>
        <w:t>.</w:t>
      </w:r>
    </w:p>
    <w:p w:rsidR="00953B77" w:rsidRDefault="008E43B8" w:rsidP="008E43B8">
      <w:pPr>
        <w:pStyle w:val="ListParagraph"/>
        <w:numPr>
          <w:ilvl w:val="0"/>
          <w:numId w:val="14"/>
        </w:numPr>
        <w:ind w:left="360"/>
        <w:rPr>
          <w:sz w:val="22"/>
          <w:szCs w:val="22"/>
        </w:rPr>
      </w:pPr>
      <w:r>
        <w:rPr>
          <w:sz w:val="22"/>
          <w:szCs w:val="22"/>
        </w:rPr>
        <w:t>Safeguards and quality assurance measures are in place throughout the system.</w:t>
      </w:r>
    </w:p>
    <w:p w:rsidR="008E43B8" w:rsidRDefault="008E43B8" w:rsidP="008E43B8">
      <w:pPr>
        <w:pStyle w:val="ListParagraph"/>
        <w:numPr>
          <w:ilvl w:val="0"/>
          <w:numId w:val="14"/>
        </w:numPr>
        <w:ind w:left="360"/>
        <w:rPr>
          <w:sz w:val="22"/>
          <w:szCs w:val="22"/>
        </w:rPr>
      </w:pPr>
      <w:r>
        <w:rPr>
          <w:sz w:val="22"/>
          <w:szCs w:val="22"/>
        </w:rPr>
        <w:t xml:space="preserve">$4 to $6 million new dollars will be put into the </w:t>
      </w:r>
      <w:proofErr w:type="spellStart"/>
      <w:r>
        <w:rPr>
          <w:sz w:val="22"/>
          <w:szCs w:val="22"/>
        </w:rPr>
        <w:t>DDW</w:t>
      </w:r>
      <w:proofErr w:type="spellEnd"/>
      <w:r>
        <w:rPr>
          <w:sz w:val="22"/>
          <w:szCs w:val="22"/>
        </w:rPr>
        <w:t xml:space="preserve"> system over a </w:t>
      </w:r>
      <w:proofErr w:type="gramStart"/>
      <w:r>
        <w:rPr>
          <w:sz w:val="22"/>
          <w:szCs w:val="22"/>
        </w:rPr>
        <w:t>two year</w:t>
      </w:r>
      <w:proofErr w:type="gramEnd"/>
      <w:r>
        <w:rPr>
          <w:sz w:val="22"/>
          <w:szCs w:val="22"/>
        </w:rPr>
        <w:t xml:space="preserve"> period.</w:t>
      </w:r>
    </w:p>
    <w:p w:rsidR="008E43B8" w:rsidRDefault="008E43B8" w:rsidP="008E43B8">
      <w:pPr>
        <w:pStyle w:val="ListParagraph"/>
        <w:numPr>
          <w:ilvl w:val="0"/>
          <w:numId w:val="14"/>
        </w:numPr>
        <w:ind w:left="360"/>
        <w:rPr>
          <w:sz w:val="22"/>
          <w:szCs w:val="22"/>
        </w:rPr>
      </w:pPr>
      <w:proofErr w:type="gramStart"/>
      <w:r>
        <w:rPr>
          <w:sz w:val="22"/>
          <w:szCs w:val="22"/>
        </w:rPr>
        <w:t>60%</w:t>
      </w:r>
      <w:proofErr w:type="gramEnd"/>
      <w:r>
        <w:rPr>
          <w:sz w:val="22"/>
          <w:szCs w:val="22"/>
        </w:rPr>
        <w:t xml:space="preserve"> of providers will see revenues that are within 10% of reimbursed amounts in FY12.</w:t>
      </w:r>
    </w:p>
    <w:p w:rsidR="00385273" w:rsidRDefault="00385273" w:rsidP="008E43B8">
      <w:pPr>
        <w:pStyle w:val="ListParagraph"/>
        <w:numPr>
          <w:ilvl w:val="0"/>
          <w:numId w:val="14"/>
        </w:numPr>
        <w:ind w:left="360"/>
        <w:rPr>
          <w:sz w:val="22"/>
          <w:szCs w:val="22"/>
        </w:rPr>
      </w:pPr>
      <w:r>
        <w:rPr>
          <w:sz w:val="22"/>
          <w:szCs w:val="22"/>
        </w:rPr>
        <w:t xml:space="preserve">Based on assessed need, individuals will get the services and supports they need.  </w:t>
      </w:r>
      <w:proofErr w:type="gramStart"/>
      <w:r>
        <w:rPr>
          <w:sz w:val="22"/>
          <w:szCs w:val="22"/>
        </w:rPr>
        <w:t>No more and no less.</w:t>
      </w:r>
      <w:proofErr w:type="gramEnd"/>
    </w:p>
    <w:p w:rsidR="008E43B8" w:rsidRDefault="008E43B8" w:rsidP="008E43B8">
      <w:pPr>
        <w:pStyle w:val="ListParagraph"/>
        <w:numPr>
          <w:ilvl w:val="0"/>
          <w:numId w:val="14"/>
        </w:numPr>
        <w:ind w:left="360"/>
        <w:rPr>
          <w:sz w:val="22"/>
          <w:szCs w:val="22"/>
        </w:rPr>
      </w:pPr>
      <w:r>
        <w:rPr>
          <w:sz w:val="22"/>
          <w:szCs w:val="22"/>
        </w:rPr>
        <w:t xml:space="preserve">New Mexico has one of the top ten average </w:t>
      </w:r>
      <w:r w:rsidR="00B411C4">
        <w:rPr>
          <w:sz w:val="22"/>
          <w:szCs w:val="22"/>
        </w:rPr>
        <w:t>costs</w:t>
      </w:r>
      <w:r>
        <w:rPr>
          <w:sz w:val="22"/>
          <w:szCs w:val="22"/>
        </w:rPr>
        <w:t xml:space="preserve"> per person in the nation.</w:t>
      </w:r>
    </w:p>
    <w:p w:rsidR="00B411C4" w:rsidRPr="00625630" w:rsidRDefault="00B411C4" w:rsidP="00B411C4">
      <w:pPr>
        <w:rPr>
          <w:sz w:val="16"/>
          <w:szCs w:val="16"/>
        </w:rPr>
      </w:pPr>
    </w:p>
    <w:p w:rsidR="00385273" w:rsidRDefault="00B411C4" w:rsidP="00B411C4">
      <w:pPr>
        <w:rPr>
          <w:b/>
          <w:caps/>
          <w:color w:val="984806" w:themeColor="accent6" w:themeShade="80"/>
          <w:sz w:val="22"/>
          <w:szCs w:val="22"/>
        </w:rPr>
      </w:pPr>
      <w:r>
        <w:rPr>
          <w:b/>
          <w:smallCaps/>
          <w:color w:val="984806" w:themeColor="accent6" w:themeShade="80"/>
          <w:sz w:val="22"/>
          <w:szCs w:val="22"/>
          <w:u w:val="single"/>
        </w:rPr>
        <w:t xml:space="preserve">Number Of </w:t>
      </w:r>
      <w:r w:rsidR="00E90532">
        <w:rPr>
          <w:b/>
          <w:smallCaps/>
          <w:color w:val="984806" w:themeColor="accent6" w:themeShade="80"/>
          <w:sz w:val="22"/>
          <w:szCs w:val="22"/>
          <w:u w:val="single"/>
        </w:rPr>
        <w:t xml:space="preserve">Traditional </w:t>
      </w:r>
      <w:r>
        <w:rPr>
          <w:b/>
          <w:smallCaps/>
          <w:color w:val="984806" w:themeColor="accent6" w:themeShade="80"/>
          <w:sz w:val="22"/>
          <w:szCs w:val="22"/>
          <w:u w:val="single"/>
        </w:rPr>
        <w:t>Individual</w:t>
      </w:r>
      <w:r w:rsidR="00E90532">
        <w:rPr>
          <w:b/>
          <w:smallCaps/>
          <w:color w:val="984806" w:themeColor="accent6" w:themeShade="80"/>
          <w:sz w:val="22"/>
          <w:szCs w:val="22"/>
          <w:u w:val="single"/>
        </w:rPr>
        <w:t>s</w:t>
      </w:r>
      <w:r>
        <w:rPr>
          <w:b/>
          <w:smallCaps/>
          <w:color w:val="984806" w:themeColor="accent6" w:themeShade="80"/>
          <w:sz w:val="22"/>
          <w:szCs w:val="22"/>
          <w:u w:val="single"/>
        </w:rPr>
        <w:t xml:space="preserve"> Enrolled</w:t>
      </w:r>
      <w:r w:rsidRPr="00AC5CE2">
        <w:rPr>
          <w:b/>
          <w:smallCaps/>
          <w:color w:val="984806" w:themeColor="accent6" w:themeShade="80"/>
          <w:sz w:val="22"/>
          <w:szCs w:val="22"/>
          <w:u w:val="single"/>
        </w:rPr>
        <w:t>:</w:t>
      </w:r>
      <w:r w:rsidRPr="00AC5CE2">
        <w:rPr>
          <w:b/>
          <w:caps/>
          <w:color w:val="984806" w:themeColor="accent6" w:themeShade="80"/>
          <w:sz w:val="22"/>
          <w:szCs w:val="22"/>
        </w:rPr>
        <w:t xml:space="preserve"> </w:t>
      </w:r>
    </w:p>
    <w:p w:rsidR="00B411C4" w:rsidRDefault="00B411C4" w:rsidP="00B411C4">
      <w:pPr>
        <w:pStyle w:val="ListParagraph"/>
        <w:numPr>
          <w:ilvl w:val="0"/>
          <w:numId w:val="15"/>
        </w:numPr>
        <w:ind w:left="360"/>
        <w:rPr>
          <w:caps/>
          <w:color w:val="auto"/>
          <w:sz w:val="22"/>
          <w:szCs w:val="22"/>
        </w:rPr>
      </w:pPr>
      <w:proofErr w:type="spellStart"/>
      <w:r>
        <w:rPr>
          <w:caps/>
          <w:color w:val="auto"/>
          <w:sz w:val="22"/>
          <w:szCs w:val="22"/>
        </w:rPr>
        <w:t>FY11</w:t>
      </w:r>
      <w:proofErr w:type="spellEnd"/>
      <w:r w:rsidR="00625630">
        <w:rPr>
          <w:caps/>
          <w:color w:val="auto"/>
          <w:sz w:val="22"/>
          <w:szCs w:val="22"/>
        </w:rPr>
        <w:t xml:space="preserve">:  </w:t>
      </w:r>
      <w:r>
        <w:rPr>
          <w:caps/>
          <w:color w:val="auto"/>
          <w:sz w:val="22"/>
          <w:szCs w:val="22"/>
        </w:rPr>
        <w:t>3,705</w:t>
      </w:r>
    </w:p>
    <w:p w:rsidR="00B411C4" w:rsidRDefault="00B411C4" w:rsidP="00B411C4">
      <w:pPr>
        <w:pStyle w:val="ListParagraph"/>
        <w:numPr>
          <w:ilvl w:val="0"/>
          <w:numId w:val="15"/>
        </w:numPr>
        <w:ind w:left="360"/>
        <w:rPr>
          <w:caps/>
          <w:color w:val="auto"/>
          <w:sz w:val="22"/>
          <w:szCs w:val="22"/>
        </w:rPr>
      </w:pPr>
      <w:r>
        <w:rPr>
          <w:caps/>
          <w:color w:val="auto"/>
          <w:sz w:val="22"/>
          <w:szCs w:val="22"/>
        </w:rPr>
        <w:t>FY12</w:t>
      </w:r>
      <w:r w:rsidR="00625630">
        <w:rPr>
          <w:caps/>
          <w:color w:val="auto"/>
          <w:sz w:val="22"/>
          <w:szCs w:val="22"/>
        </w:rPr>
        <w:t xml:space="preserve">:  </w:t>
      </w:r>
      <w:r>
        <w:rPr>
          <w:caps/>
          <w:color w:val="auto"/>
          <w:sz w:val="22"/>
          <w:szCs w:val="22"/>
        </w:rPr>
        <w:t>3,693</w:t>
      </w:r>
    </w:p>
    <w:p w:rsidR="00B411C4" w:rsidRDefault="00B411C4" w:rsidP="00B411C4">
      <w:pPr>
        <w:pStyle w:val="ListParagraph"/>
        <w:numPr>
          <w:ilvl w:val="0"/>
          <w:numId w:val="15"/>
        </w:numPr>
        <w:ind w:left="360"/>
        <w:rPr>
          <w:caps/>
          <w:color w:val="auto"/>
          <w:sz w:val="22"/>
          <w:szCs w:val="22"/>
        </w:rPr>
      </w:pPr>
      <w:r>
        <w:rPr>
          <w:caps/>
          <w:color w:val="auto"/>
          <w:sz w:val="22"/>
          <w:szCs w:val="22"/>
        </w:rPr>
        <w:t>FY</w:t>
      </w:r>
      <w:r w:rsidR="00625630">
        <w:rPr>
          <w:caps/>
          <w:color w:val="auto"/>
          <w:sz w:val="22"/>
          <w:szCs w:val="22"/>
        </w:rPr>
        <w:t>13:  3,807</w:t>
      </w:r>
    </w:p>
    <w:p w:rsidR="00625630" w:rsidRPr="00625630" w:rsidRDefault="00625630" w:rsidP="00625630">
      <w:pPr>
        <w:rPr>
          <w:caps/>
          <w:color w:val="auto"/>
          <w:sz w:val="16"/>
          <w:szCs w:val="16"/>
          <w:vertAlign w:val="superscript"/>
        </w:rPr>
      </w:pPr>
    </w:p>
    <w:p w:rsidR="00385273" w:rsidRPr="00385273" w:rsidRDefault="00625630" w:rsidP="00625630">
      <w:pPr>
        <w:rPr>
          <w:b/>
          <w:caps/>
          <w:color w:val="984806" w:themeColor="accent6" w:themeShade="80"/>
          <w:sz w:val="22"/>
          <w:szCs w:val="22"/>
        </w:rPr>
      </w:pPr>
      <w:r>
        <w:rPr>
          <w:b/>
          <w:smallCaps/>
          <w:color w:val="984806" w:themeColor="accent6" w:themeShade="80"/>
          <w:sz w:val="22"/>
          <w:szCs w:val="22"/>
          <w:u w:val="single"/>
        </w:rPr>
        <w:lastRenderedPageBreak/>
        <w:t>Total Expenditures</w:t>
      </w:r>
      <w:r w:rsidR="00E90532">
        <w:rPr>
          <w:b/>
          <w:smallCaps/>
          <w:color w:val="984806" w:themeColor="accent6" w:themeShade="80"/>
          <w:sz w:val="22"/>
          <w:szCs w:val="22"/>
          <w:u w:val="single"/>
        </w:rPr>
        <w:t xml:space="preserve"> (Including State General Fund and Federal Match)</w:t>
      </w:r>
      <w:r w:rsidRPr="00AC5CE2">
        <w:rPr>
          <w:b/>
          <w:smallCaps/>
          <w:color w:val="984806" w:themeColor="accent6" w:themeShade="80"/>
          <w:sz w:val="22"/>
          <w:szCs w:val="22"/>
          <w:u w:val="single"/>
        </w:rPr>
        <w:t>:</w:t>
      </w:r>
      <w:r w:rsidR="00332A3E">
        <w:rPr>
          <w:b/>
          <w:smallCaps/>
          <w:color w:val="984806" w:themeColor="accent6" w:themeShade="80"/>
          <w:sz w:val="22"/>
          <w:szCs w:val="22"/>
          <w:u w:val="single"/>
        </w:rPr>
        <w:t xml:space="preserve"> </w:t>
      </w:r>
      <w:r w:rsidRPr="00AC5CE2">
        <w:rPr>
          <w:b/>
          <w:caps/>
          <w:color w:val="984806" w:themeColor="accent6" w:themeShade="80"/>
          <w:sz w:val="22"/>
          <w:szCs w:val="22"/>
        </w:rPr>
        <w:t xml:space="preserve"> </w:t>
      </w:r>
    </w:p>
    <w:p w:rsidR="00625630" w:rsidRDefault="00625630" w:rsidP="00625630">
      <w:pPr>
        <w:pStyle w:val="ListParagraph"/>
        <w:numPr>
          <w:ilvl w:val="0"/>
          <w:numId w:val="15"/>
        </w:numPr>
        <w:ind w:left="360"/>
        <w:rPr>
          <w:caps/>
          <w:color w:val="auto"/>
          <w:sz w:val="22"/>
          <w:szCs w:val="22"/>
        </w:rPr>
      </w:pPr>
      <w:proofErr w:type="spellStart"/>
      <w:r>
        <w:rPr>
          <w:caps/>
          <w:color w:val="auto"/>
          <w:sz w:val="22"/>
          <w:szCs w:val="22"/>
        </w:rPr>
        <w:t>FY11</w:t>
      </w:r>
      <w:proofErr w:type="spellEnd"/>
      <w:r>
        <w:rPr>
          <w:caps/>
          <w:color w:val="auto"/>
          <w:sz w:val="22"/>
          <w:szCs w:val="22"/>
        </w:rPr>
        <w:t>:  $273.7</w:t>
      </w:r>
      <w:r>
        <w:rPr>
          <w:color w:val="auto"/>
          <w:sz w:val="22"/>
          <w:szCs w:val="22"/>
        </w:rPr>
        <w:t xml:space="preserve"> million</w:t>
      </w:r>
      <w:r>
        <w:rPr>
          <w:caps/>
          <w:color w:val="auto"/>
          <w:sz w:val="22"/>
          <w:szCs w:val="22"/>
        </w:rPr>
        <w:t xml:space="preserve"> </w:t>
      </w:r>
    </w:p>
    <w:p w:rsidR="00625630" w:rsidRDefault="00625630" w:rsidP="00625630">
      <w:pPr>
        <w:pStyle w:val="ListParagraph"/>
        <w:numPr>
          <w:ilvl w:val="0"/>
          <w:numId w:val="15"/>
        </w:numPr>
        <w:ind w:left="360"/>
        <w:rPr>
          <w:caps/>
          <w:color w:val="auto"/>
          <w:sz w:val="22"/>
          <w:szCs w:val="22"/>
        </w:rPr>
      </w:pPr>
      <w:r>
        <w:rPr>
          <w:caps/>
          <w:color w:val="auto"/>
          <w:sz w:val="22"/>
          <w:szCs w:val="22"/>
        </w:rPr>
        <w:t xml:space="preserve">FY12:  $269.8 </w:t>
      </w:r>
      <w:r>
        <w:rPr>
          <w:color w:val="auto"/>
          <w:sz w:val="22"/>
          <w:szCs w:val="22"/>
        </w:rPr>
        <w:t>million</w:t>
      </w:r>
    </w:p>
    <w:p w:rsidR="0062140D" w:rsidRPr="0062140D" w:rsidRDefault="00625630" w:rsidP="00625630">
      <w:pPr>
        <w:pStyle w:val="ListParagraph"/>
        <w:numPr>
          <w:ilvl w:val="0"/>
          <w:numId w:val="15"/>
        </w:numPr>
        <w:ind w:left="360"/>
        <w:rPr>
          <w:caps/>
          <w:color w:val="auto"/>
          <w:sz w:val="22"/>
          <w:szCs w:val="22"/>
        </w:rPr>
      </w:pPr>
      <w:r>
        <w:rPr>
          <w:caps/>
          <w:color w:val="auto"/>
          <w:sz w:val="22"/>
          <w:szCs w:val="22"/>
        </w:rPr>
        <w:t xml:space="preserve">FY13:  $271 </w:t>
      </w:r>
      <w:r>
        <w:rPr>
          <w:color w:val="auto"/>
          <w:sz w:val="22"/>
          <w:szCs w:val="22"/>
        </w:rPr>
        <w:t>million</w:t>
      </w:r>
    </w:p>
    <w:p w:rsidR="0062140D" w:rsidRPr="0062140D" w:rsidRDefault="0062140D" w:rsidP="00625630">
      <w:pPr>
        <w:pStyle w:val="ListParagraph"/>
        <w:numPr>
          <w:ilvl w:val="0"/>
          <w:numId w:val="15"/>
        </w:numPr>
        <w:ind w:left="360"/>
        <w:rPr>
          <w:caps/>
          <w:color w:val="auto"/>
          <w:sz w:val="22"/>
          <w:szCs w:val="22"/>
        </w:rPr>
      </w:pPr>
      <w:proofErr w:type="spellStart"/>
      <w:r>
        <w:rPr>
          <w:color w:val="auto"/>
          <w:sz w:val="22"/>
          <w:szCs w:val="22"/>
        </w:rPr>
        <w:t>FY14</w:t>
      </w:r>
      <w:proofErr w:type="spellEnd"/>
      <w:r>
        <w:rPr>
          <w:color w:val="auto"/>
          <w:sz w:val="22"/>
          <w:szCs w:val="22"/>
        </w:rPr>
        <w:t>:  $286.3 million</w:t>
      </w:r>
    </w:p>
    <w:p w:rsidR="0062140D" w:rsidRDefault="0062140D" w:rsidP="00625630">
      <w:pPr>
        <w:rPr>
          <w:b/>
          <w:smallCaps/>
          <w:color w:val="984806" w:themeColor="accent6" w:themeShade="80"/>
          <w:sz w:val="22"/>
          <w:szCs w:val="22"/>
          <w:u w:val="single"/>
        </w:rPr>
      </w:pPr>
    </w:p>
    <w:p w:rsidR="00385273" w:rsidRPr="00385273" w:rsidRDefault="00625630" w:rsidP="00625630">
      <w:pPr>
        <w:rPr>
          <w:color w:val="auto"/>
          <w:sz w:val="22"/>
          <w:szCs w:val="22"/>
        </w:rPr>
      </w:pPr>
      <w:r>
        <w:rPr>
          <w:b/>
          <w:smallCaps/>
          <w:color w:val="984806" w:themeColor="accent6" w:themeShade="80"/>
          <w:sz w:val="22"/>
          <w:szCs w:val="22"/>
          <w:u w:val="single"/>
        </w:rPr>
        <w:t>Average Cost per Person</w:t>
      </w:r>
      <w:r w:rsidRPr="00625630">
        <w:rPr>
          <w:b/>
          <w:smallCaps/>
          <w:color w:val="984806" w:themeColor="accent6" w:themeShade="80"/>
          <w:sz w:val="22"/>
          <w:szCs w:val="22"/>
          <w:u w:val="single"/>
        </w:rPr>
        <w:t>:</w:t>
      </w:r>
      <w:r w:rsidRPr="00625630">
        <w:rPr>
          <w:b/>
          <w:caps/>
          <w:color w:val="984806" w:themeColor="accent6" w:themeShade="80"/>
          <w:sz w:val="22"/>
          <w:szCs w:val="22"/>
        </w:rPr>
        <w:t xml:space="preserve"> </w:t>
      </w:r>
      <w:r>
        <w:rPr>
          <w:color w:val="auto"/>
          <w:sz w:val="22"/>
          <w:szCs w:val="22"/>
        </w:rPr>
        <w:t xml:space="preserve">In </w:t>
      </w:r>
      <w:r w:rsidR="00332A3E">
        <w:rPr>
          <w:color w:val="auto"/>
          <w:sz w:val="22"/>
          <w:szCs w:val="22"/>
        </w:rPr>
        <w:t xml:space="preserve">2011, the average cost per person in New Mexico was $73,903 down from $77,463 in </w:t>
      </w:r>
      <w:proofErr w:type="spellStart"/>
      <w:r w:rsidR="00332A3E">
        <w:rPr>
          <w:color w:val="auto"/>
          <w:sz w:val="22"/>
          <w:szCs w:val="22"/>
        </w:rPr>
        <w:t>FY10</w:t>
      </w:r>
      <w:proofErr w:type="spellEnd"/>
      <w:r w:rsidR="00332A3E">
        <w:rPr>
          <w:color w:val="auto"/>
          <w:sz w:val="22"/>
          <w:szCs w:val="22"/>
        </w:rPr>
        <w:t>.  The national average cost per person nationally in 2011 was $57,740.</w:t>
      </w:r>
    </w:p>
    <w:p w:rsidR="00332A3E" w:rsidRDefault="00332A3E" w:rsidP="00332A3E">
      <w:pPr>
        <w:pStyle w:val="ListParagraph"/>
        <w:numPr>
          <w:ilvl w:val="0"/>
          <w:numId w:val="15"/>
        </w:numPr>
        <w:ind w:left="360"/>
        <w:rPr>
          <w:caps/>
          <w:color w:val="auto"/>
          <w:sz w:val="22"/>
          <w:szCs w:val="22"/>
        </w:rPr>
      </w:pPr>
      <w:proofErr w:type="spellStart"/>
      <w:r>
        <w:rPr>
          <w:caps/>
          <w:color w:val="auto"/>
          <w:sz w:val="22"/>
          <w:szCs w:val="22"/>
        </w:rPr>
        <w:t>FY11</w:t>
      </w:r>
      <w:proofErr w:type="spellEnd"/>
      <w:r>
        <w:rPr>
          <w:caps/>
          <w:color w:val="auto"/>
          <w:sz w:val="22"/>
          <w:szCs w:val="22"/>
        </w:rPr>
        <w:t xml:space="preserve">:  $73,903 </w:t>
      </w:r>
    </w:p>
    <w:p w:rsidR="00332A3E" w:rsidRDefault="00332A3E" w:rsidP="00332A3E">
      <w:pPr>
        <w:pStyle w:val="ListParagraph"/>
        <w:numPr>
          <w:ilvl w:val="0"/>
          <w:numId w:val="15"/>
        </w:numPr>
        <w:ind w:left="360"/>
        <w:rPr>
          <w:caps/>
          <w:color w:val="auto"/>
          <w:sz w:val="22"/>
          <w:szCs w:val="22"/>
        </w:rPr>
      </w:pPr>
      <w:r>
        <w:rPr>
          <w:caps/>
          <w:color w:val="auto"/>
          <w:sz w:val="22"/>
          <w:szCs w:val="22"/>
        </w:rPr>
        <w:t>FY12:  $73,334</w:t>
      </w:r>
    </w:p>
    <w:p w:rsidR="00332A3E" w:rsidRPr="00332A3E" w:rsidRDefault="00332A3E" w:rsidP="00332A3E">
      <w:pPr>
        <w:pStyle w:val="ListParagraph"/>
        <w:numPr>
          <w:ilvl w:val="0"/>
          <w:numId w:val="15"/>
        </w:numPr>
        <w:ind w:left="360"/>
        <w:rPr>
          <w:caps/>
          <w:color w:val="auto"/>
          <w:sz w:val="22"/>
          <w:szCs w:val="22"/>
        </w:rPr>
      </w:pPr>
      <w:r>
        <w:rPr>
          <w:caps/>
          <w:color w:val="auto"/>
          <w:sz w:val="22"/>
          <w:szCs w:val="22"/>
        </w:rPr>
        <w:t>FY13:  $71,561</w:t>
      </w:r>
      <w:r>
        <w:rPr>
          <w:color w:val="auto"/>
          <w:sz w:val="22"/>
          <w:szCs w:val="22"/>
        </w:rPr>
        <w:t xml:space="preserve"> </w:t>
      </w:r>
    </w:p>
    <w:p w:rsidR="00332A3E" w:rsidRPr="0062140D" w:rsidRDefault="00332A3E" w:rsidP="00332A3E">
      <w:pPr>
        <w:rPr>
          <w:caps/>
          <w:color w:val="auto"/>
          <w:sz w:val="16"/>
          <w:szCs w:val="16"/>
        </w:rPr>
      </w:pPr>
    </w:p>
    <w:p w:rsidR="0062140D" w:rsidRPr="00E90532" w:rsidRDefault="00332A3E" w:rsidP="0062140D">
      <w:pPr>
        <w:pStyle w:val="ColorfulList-Accent11"/>
        <w:ind w:left="0"/>
        <w:rPr>
          <w:rFonts w:ascii="Times New Roman" w:hAnsi="Times New Roman"/>
        </w:rPr>
      </w:pPr>
      <w:r w:rsidRPr="0062140D">
        <w:rPr>
          <w:rFonts w:ascii="Times New Roman" w:hAnsi="Times New Roman"/>
          <w:b/>
          <w:smallCaps/>
          <w:color w:val="984806" w:themeColor="accent6" w:themeShade="80"/>
          <w:u w:val="single"/>
        </w:rPr>
        <w:t>Supports Intensity Scale (SIS):</w:t>
      </w:r>
      <w:r w:rsidR="0062140D">
        <w:rPr>
          <w:b/>
          <w:smallCaps/>
          <w:color w:val="984806" w:themeColor="accent6" w:themeShade="80"/>
        </w:rPr>
        <w:t xml:space="preserve">  </w:t>
      </w:r>
      <w:r w:rsidR="0062140D" w:rsidRPr="0062140D">
        <w:rPr>
          <w:rFonts w:ascii="Times New Roman" w:hAnsi="Times New Roman"/>
        </w:rPr>
        <w:t>The SIS is a valid and reliable assessment tool.  The validity of the SIS has been examined in a number of countries and a variety of studies</w:t>
      </w:r>
      <w:r w:rsidR="0062140D">
        <w:t xml:space="preserve">.  </w:t>
      </w:r>
      <w:r w:rsidR="0062140D" w:rsidRPr="0062140D">
        <w:rPr>
          <w:rFonts w:ascii="Times New Roman" w:hAnsi="Times New Roman"/>
        </w:rPr>
        <w:t xml:space="preserve">The SIS is specifically designed to measure the type of support, and intensity of support an individual needs </w:t>
      </w:r>
      <w:proofErr w:type="gramStart"/>
      <w:r w:rsidR="0062140D" w:rsidRPr="0062140D">
        <w:rPr>
          <w:rFonts w:ascii="Times New Roman" w:hAnsi="Times New Roman"/>
        </w:rPr>
        <w:t>to fully participate</w:t>
      </w:r>
      <w:proofErr w:type="gramEnd"/>
      <w:r w:rsidR="0062140D" w:rsidRPr="0062140D">
        <w:rPr>
          <w:rFonts w:ascii="Times New Roman" w:hAnsi="Times New Roman"/>
        </w:rPr>
        <w:t xml:space="preserve"> in community life.  The SIS assessment of needed supports is more explicit and straightforward than other traditional instruments.</w:t>
      </w:r>
      <w:r w:rsidR="0062140D">
        <w:rPr>
          <w:rFonts w:ascii="Times New Roman" w:hAnsi="Times New Roman"/>
        </w:rPr>
        <w:t xml:space="preserve"> </w:t>
      </w:r>
      <w:r w:rsidR="0062140D" w:rsidRPr="0062140D">
        <w:rPr>
          <w:rFonts w:ascii="Times New Roman" w:hAnsi="Times New Roman"/>
        </w:rPr>
        <w:t xml:space="preserve">As of December 2, 2013 </w:t>
      </w:r>
      <w:r w:rsidR="0062140D" w:rsidRPr="005B4E45">
        <w:rPr>
          <w:rFonts w:ascii="Times New Roman" w:hAnsi="Times New Roman"/>
          <w:b/>
        </w:rPr>
        <w:t>3,776</w:t>
      </w:r>
      <w:r w:rsidR="0062140D" w:rsidRPr="005B4E45">
        <w:rPr>
          <w:rFonts w:ascii="Times New Roman" w:hAnsi="Times New Roman"/>
        </w:rPr>
        <w:t xml:space="preserve"> </w:t>
      </w:r>
      <w:r w:rsidR="0062140D" w:rsidRPr="0062140D">
        <w:rPr>
          <w:rFonts w:ascii="Times New Roman" w:hAnsi="Times New Roman"/>
        </w:rPr>
        <w:t>SIS assessments have been conducted.</w:t>
      </w:r>
    </w:p>
    <w:p w:rsidR="00593549" w:rsidRPr="00593549" w:rsidRDefault="0062140D" w:rsidP="0062140D">
      <w:pPr>
        <w:pStyle w:val="ColorfulList-Accent11"/>
        <w:ind w:left="0"/>
        <w:rPr>
          <w:rFonts w:ascii="Times New Roman" w:hAnsi="Times New Roman"/>
        </w:rPr>
      </w:pPr>
      <w:r>
        <w:rPr>
          <w:rFonts w:ascii="Times New Roman" w:hAnsi="Times New Roman"/>
          <w:b/>
          <w:smallCaps/>
          <w:color w:val="984806" w:themeColor="accent6" w:themeShade="80"/>
          <w:u w:val="single"/>
        </w:rPr>
        <w:t>Group Distribution Based On The SIS</w:t>
      </w:r>
      <w:r w:rsidRPr="0062140D">
        <w:rPr>
          <w:rFonts w:ascii="Times New Roman" w:hAnsi="Times New Roman"/>
          <w:b/>
          <w:smallCaps/>
          <w:color w:val="984806" w:themeColor="accent6" w:themeShade="80"/>
          <w:u w:val="single"/>
        </w:rPr>
        <w:t>:</w:t>
      </w:r>
      <w:r>
        <w:rPr>
          <w:b/>
          <w:smallCaps/>
          <w:color w:val="984806" w:themeColor="accent6" w:themeShade="80"/>
        </w:rPr>
        <w:t xml:space="preserve">  </w:t>
      </w:r>
      <w:proofErr w:type="gramStart"/>
      <w:r w:rsidR="00593549">
        <w:rPr>
          <w:rFonts w:ascii="Times New Roman" w:hAnsi="Times New Roman"/>
        </w:rPr>
        <w:t xml:space="preserve">There are seven New Mexico </w:t>
      </w:r>
      <w:proofErr w:type="spellStart"/>
      <w:r w:rsidR="00593549">
        <w:rPr>
          <w:rFonts w:ascii="Times New Roman" w:hAnsi="Times New Roman"/>
        </w:rPr>
        <w:t>DDW</w:t>
      </w:r>
      <w:proofErr w:type="spellEnd"/>
      <w:r w:rsidR="00593549">
        <w:rPr>
          <w:rFonts w:ascii="Times New Roman" w:hAnsi="Times New Roman"/>
        </w:rPr>
        <w:t xml:space="preserve"> Groups that</w:t>
      </w:r>
      <w:proofErr w:type="gramEnd"/>
      <w:r w:rsidR="00593549">
        <w:rPr>
          <w:rFonts w:ascii="Times New Roman" w:hAnsi="Times New Roman"/>
        </w:rPr>
        <w:t xml:space="preserve"> reflect relative support needs individuals from least (Group A) to most (Group G) need Percent of individuals assigned to each group.</w:t>
      </w:r>
    </w:p>
    <w:p w:rsidR="0062140D" w:rsidRPr="00593549" w:rsidRDefault="0062140D" w:rsidP="0062140D">
      <w:pPr>
        <w:pStyle w:val="ColorfulList-Accent11"/>
        <w:numPr>
          <w:ilvl w:val="0"/>
          <w:numId w:val="17"/>
        </w:numPr>
        <w:ind w:left="360"/>
        <w:rPr>
          <w:rFonts w:ascii="Times New Roman" w:hAnsi="Times New Roman"/>
          <w:b/>
        </w:rPr>
      </w:pPr>
      <w:proofErr w:type="spellStart"/>
      <w:r>
        <w:rPr>
          <w:rFonts w:ascii="Times New Roman" w:hAnsi="Times New Roman"/>
        </w:rPr>
        <w:t>DDW</w:t>
      </w:r>
      <w:proofErr w:type="spellEnd"/>
      <w:r>
        <w:rPr>
          <w:rFonts w:ascii="Times New Roman" w:hAnsi="Times New Roman"/>
        </w:rPr>
        <w:t xml:space="preserve"> Group A</w:t>
      </w:r>
      <w:r w:rsidR="00593549">
        <w:rPr>
          <w:rFonts w:ascii="Times New Roman" w:hAnsi="Times New Roman"/>
        </w:rPr>
        <w:tab/>
        <w:t xml:space="preserve">9.4% </w:t>
      </w:r>
    </w:p>
    <w:p w:rsidR="00593549" w:rsidRPr="00593549" w:rsidRDefault="00593549" w:rsidP="0062140D">
      <w:pPr>
        <w:pStyle w:val="ColorfulList-Accent11"/>
        <w:numPr>
          <w:ilvl w:val="0"/>
          <w:numId w:val="17"/>
        </w:numPr>
        <w:ind w:left="360"/>
        <w:rPr>
          <w:rFonts w:ascii="Times New Roman" w:hAnsi="Times New Roman"/>
          <w:b/>
        </w:rPr>
      </w:pPr>
      <w:proofErr w:type="spellStart"/>
      <w:r>
        <w:rPr>
          <w:rFonts w:ascii="Times New Roman" w:hAnsi="Times New Roman"/>
        </w:rPr>
        <w:t>DDW</w:t>
      </w:r>
      <w:proofErr w:type="spellEnd"/>
      <w:r>
        <w:rPr>
          <w:rFonts w:ascii="Times New Roman" w:hAnsi="Times New Roman"/>
        </w:rPr>
        <w:t xml:space="preserve"> Group B</w:t>
      </w:r>
      <w:r>
        <w:rPr>
          <w:rFonts w:ascii="Times New Roman" w:hAnsi="Times New Roman"/>
        </w:rPr>
        <w:tab/>
        <w:t>12.4%</w:t>
      </w:r>
    </w:p>
    <w:p w:rsidR="00593549" w:rsidRPr="00593549" w:rsidRDefault="00593549" w:rsidP="0062140D">
      <w:pPr>
        <w:pStyle w:val="ColorfulList-Accent11"/>
        <w:numPr>
          <w:ilvl w:val="0"/>
          <w:numId w:val="17"/>
        </w:numPr>
        <w:ind w:left="360"/>
        <w:rPr>
          <w:rFonts w:ascii="Times New Roman" w:hAnsi="Times New Roman"/>
          <w:b/>
        </w:rPr>
      </w:pPr>
      <w:proofErr w:type="spellStart"/>
      <w:r>
        <w:rPr>
          <w:rFonts w:ascii="Times New Roman" w:hAnsi="Times New Roman"/>
        </w:rPr>
        <w:t>DDW</w:t>
      </w:r>
      <w:proofErr w:type="spellEnd"/>
      <w:r>
        <w:rPr>
          <w:rFonts w:ascii="Times New Roman" w:hAnsi="Times New Roman"/>
        </w:rPr>
        <w:t xml:space="preserve"> Group C</w:t>
      </w:r>
      <w:r>
        <w:rPr>
          <w:rFonts w:ascii="Times New Roman" w:hAnsi="Times New Roman"/>
        </w:rPr>
        <w:tab/>
        <w:t>12.4%</w:t>
      </w:r>
    </w:p>
    <w:p w:rsidR="00593549" w:rsidRPr="00593549" w:rsidRDefault="00593549" w:rsidP="0062140D">
      <w:pPr>
        <w:pStyle w:val="ColorfulList-Accent11"/>
        <w:numPr>
          <w:ilvl w:val="0"/>
          <w:numId w:val="17"/>
        </w:numPr>
        <w:ind w:left="360"/>
        <w:rPr>
          <w:rFonts w:ascii="Times New Roman" w:hAnsi="Times New Roman"/>
          <w:b/>
        </w:rPr>
      </w:pPr>
      <w:proofErr w:type="spellStart"/>
      <w:r>
        <w:rPr>
          <w:rFonts w:ascii="Times New Roman" w:hAnsi="Times New Roman"/>
        </w:rPr>
        <w:t>DDW</w:t>
      </w:r>
      <w:proofErr w:type="spellEnd"/>
      <w:r>
        <w:rPr>
          <w:rFonts w:ascii="Times New Roman" w:hAnsi="Times New Roman"/>
        </w:rPr>
        <w:t xml:space="preserve"> Group D</w:t>
      </w:r>
      <w:r>
        <w:rPr>
          <w:rFonts w:ascii="Times New Roman" w:hAnsi="Times New Roman"/>
        </w:rPr>
        <w:tab/>
        <w:t>27.2%</w:t>
      </w:r>
    </w:p>
    <w:p w:rsidR="00593549" w:rsidRPr="00593549" w:rsidRDefault="00593549" w:rsidP="0062140D">
      <w:pPr>
        <w:pStyle w:val="ColorfulList-Accent11"/>
        <w:numPr>
          <w:ilvl w:val="0"/>
          <w:numId w:val="17"/>
        </w:numPr>
        <w:ind w:left="360"/>
        <w:rPr>
          <w:rFonts w:ascii="Times New Roman" w:hAnsi="Times New Roman"/>
          <w:b/>
        </w:rPr>
      </w:pPr>
      <w:proofErr w:type="spellStart"/>
      <w:r>
        <w:rPr>
          <w:rFonts w:ascii="Times New Roman" w:hAnsi="Times New Roman"/>
        </w:rPr>
        <w:t>DDW</w:t>
      </w:r>
      <w:proofErr w:type="spellEnd"/>
      <w:r>
        <w:rPr>
          <w:rFonts w:ascii="Times New Roman" w:hAnsi="Times New Roman"/>
        </w:rPr>
        <w:t xml:space="preserve"> Group E</w:t>
      </w:r>
      <w:r>
        <w:rPr>
          <w:rFonts w:ascii="Times New Roman" w:hAnsi="Times New Roman"/>
        </w:rPr>
        <w:tab/>
        <w:t>9.3%</w:t>
      </w:r>
    </w:p>
    <w:p w:rsidR="00385273" w:rsidRPr="00385273" w:rsidRDefault="00593549" w:rsidP="00385273">
      <w:pPr>
        <w:pStyle w:val="ColorfulList-Accent11"/>
        <w:numPr>
          <w:ilvl w:val="0"/>
          <w:numId w:val="17"/>
        </w:numPr>
        <w:ind w:left="360"/>
        <w:rPr>
          <w:rFonts w:ascii="Times New Roman" w:hAnsi="Times New Roman"/>
          <w:b/>
        </w:rPr>
      </w:pPr>
      <w:proofErr w:type="spellStart"/>
      <w:r>
        <w:rPr>
          <w:rFonts w:ascii="Times New Roman" w:hAnsi="Times New Roman"/>
        </w:rPr>
        <w:t>DDW</w:t>
      </w:r>
      <w:proofErr w:type="spellEnd"/>
      <w:r>
        <w:rPr>
          <w:rFonts w:ascii="Times New Roman" w:hAnsi="Times New Roman"/>
        </w:rPr>
        <w:t xml:space="preserve"> Group F</w:t>
      </w:r>
      <w:r>
        <w:rPr>
          <w:rFonts w:ascii="Times New Roman" w:hAnsi="Times New Roman"/>
        </w:rPr>
        <w:tab/>
        <w:t>12.5%</w:t>
      </w:r>
    </w:p>
    <w:p w:rsidR="00593549" w:rsidRPr="00593549" w:rsidRDefault="00593549" w:rsidP="00593549">
      <w:pPr>
        <w:pStyle w:val="ColorfulList-Accent11"/>
        <w:numPr>
          <w:ilvl w:val="0"/>
          <w:numId w:val="17"/>
        </w:numPr>
        <w:ind w:left="360"/>
        <w:rPr>
          <w:rFonts w:ascii="Times New Roman" w:hAnsi="Times New Roman"/>
          <w:b/>
        </w:rPr>
      </w:pPr>
      <w:proofErr w:type="spellStart"/>
      <w:r>
        <w:rPr>
          <w:rFonts w:ascii="Times New Roman" w:hAnsi="Times New Roman"/>
        </w:rPr>
        <w:t>DDW</w:t>
      </w:r>
      <w:proofErr w:type="spellEnd"/>
      <w:r>
        <w:rPr>
          <w:rFonts w:ascii="Times New Roman" w:hAnsi="Times New Roman"/>
        </w:rPr>
        <w:t xml:space="preserve"> Group G</w:t>
      </w:r>
      <w:r>
        <w:rPr>
          <w:rFonts w:ascii="Times New Roman" w:hAnsi="Times New Roman"/>
        </w:rPr>
        <w:tab/>
        <w:t>16.8%</w:t>
      </w:r>
    </w:p>
    <w:p w:rsidR="0044740E" w:rsidRDefault="0044740E" w:rsidP="00593549">
      <w:pPr>
        <w:pStyle w:val="ColorfulList-Accent11"/>
        <w:ind w:left="0"/>
        <w:rPr>
          <w:rFonts w:ascii="Times New Roman" w:hAnsi="Times New Roman"/>
          <w:b/>
          <w:smallCaps/>
          <w:color w:val="984806" w:themeColor="accent6" w:themeShade="80"/>
          <w:u w:val="single"/>
        </w:rPr>
        <w:sectPr w:rsidR="0044740E" w:rsidSect="00385273">
          <w:headerReference w:type="default" r:id="rId11"/>
          <w:footerReference w:type="default" r:id="rId12"/>
          <w:type w:val="continuous"/>
          <w:pgSz w:w="12240" w:h="15840"/>
          <w:pgMar w:top="1440" w:right="1152" w:bottom="450" w:left="1152" w:header="270" w:footer="257" w:gutter="0"/>
          <w:cols w:num="2" w:sep="1" w:space="720"/>
          <w:docGrid w:linePitch="360"/>
        </w:sectPr>
      </w:pPr>
    </w:p>
    <w:p w:rsidR="0044740E" w:rsidRDefault="0044740E" w:rsidP="00593549">
      <w:pPr>
        <w:pStyle w:val="ColorfulList-Accent11"/>
        <w:ind w:left="0"/>
        <w:rPr>
          <w:rFonts w:ascii="Times New Roman" w:hAnsi="Times New Roman"/>
          <w:b/>
          <w:smallCaps/>
          <w:color w:val="984806" w:themeColor="accent6" w:themeShade="80"/>
          <w:u w:val="single"/>
        </w:rPr>
      </w:pPr>
    </w:p>
    <w:p w:rsidR="00E7753A" w:rsidRDefault="00E7753A" w:rsidP="00593549">
      <w:pPr>
        <w:pStyle w:val="ColorfulList-Accent11"/>
        <w:ind w:left="0"/>
        <w:rPr>
          <w:rFonts w:ascii="Times New Roman" w:hAnsi="Times New Roman"/>
          <w:b/>
          <w:smallCaps/>
          <w:color w:val="984806" w:themeColor="accent6" w:themeShade="80"/>
          <w:u w:val="single"/>
        </w:rPr>
      </w:pPr>
    </w:p>
    <w:p w:rsidR="00E7753A" w:rsidRDefault="00E7753A" w:rsidP="00593549">
      <w:pPr>
        <w:pStyle w:val="ColorfulList-Accent11"/>
        <w:ind w:left="0"/>
        <w:rPr>
          <w:rFonts w:ascii="Times New Roman" w:hAnsi="Times New Roman"/>
          <w:b/>
          <w:smallCaps/>
          <w:color w:val="984806" w:themeColor="accent6" w:themeShade="80"/>
          <w:u w:val="single"/>
        </w:rPr>
      </w:pPr>
    </w:p>
    <w:p w:rsidR="00593549" w:rsidRPr="00593549" w:rsidRDefault="00593549" w:rsidP="00593549">
      <w:pPr>
        <w:pStyle w:val="ColorfulList-Accent11"/>
        <w:ind w:left="0"/>
        <w:rPr>
          <w:rFonts w:ascii="Times New Roman" w:hAnsi="Times New Roman"/>
          <w:b/>
        </w:rPr>
      </w:pPr>
      <w:r>
        <w:rPr>
          <w:rFonts w:ascii="Times New Roman" w:hAnsi="Times New Roman"/>
          <w:b/>
          <w:smallCaps/>
          <w:color w:val="984806" w:themeColor="accent6" w:themeShade="80"/>
          <w:u w:val="single"/>
        </w:rPr>
        <w:lastRenderedPageBreak/>
        <w:t>SIS Reassessments</w:t>
      </w:r>
      <w:r w:rsidRPr="0062140D">
        <w:rPr>
          <w:rFonts w:ascii="Times New Roman" w:hAnsi="Times New Roman"/>
          <w:b/>
          <w:smallCaps/>
          <w:color w:val="984806" w:themeColor="accent6" w:themeShade="80"/>
          <w:u w:val="single"/>
        </w:rPr>
        <w:t>:</w:t>
      </w:r>
      <w:r>
        <w:rPr>
          <w:b/>
          <w:smallCaps/>
          <w:color w:val="984806" w:themeColor="accent6" w:themeShade="80"/>
        </w:rPr>
        <w:t xml:space="preserve">  </w:t>
      </w:r>
      <w:r w:rsidRPr="00593549">
        <w:rPr>
          <w:rFonts w:ascii="Times New Roman" w:hAnsi="Times New Roman"/>
        </w:rPr>
        <w:t xml:space="preserve">During the first year of implementation of the SIS, reassessments are an assurance offered to individuals transitioning into the new waiver.  Approximately, 708 individuals have requested a reassessment.  Out of 310 reassessments conducted, 28.1% NM </w:t>
      </w:r>
      <w:proofErr w:type="spellStart"/>
      <w:r w:rsidRPr="00593549">
        <w:rPr>
          <w:rFonts w:ascii="Times New Roman" w:hAnsi="Times New Roman"/>
        </w:rPr>
        <w:t>DDW</w:t>
      </w:r>
      <w:proofErr w:type="spellEnd"/>
      <w:r w:rsidRPr="00593549">
        <w:rPr>
          <w:rFonts w:ascii="Times New Roman" w:hAnsi="Times New Roman"/>
        </w:rPr>
        <w:t xml:space="preserve"> group assignments stayed the same, 1.6% decreased, and 70.3% increased to higher groups between the initial assessment and the reassessment. Based on an analysis, changes to NM </w:t>
      </w:r>
      <w:proofErr w:type="spellStart"/>
      <w:r w:rsidRPr="00593549">
        <w:rPr>
          <w:rFonts w:ascii="Times New Roman" w:hAnsi="Times New Roman"/>
        </w:rPr>
        <w:t>DDW</w:t>
      </w:r>
      <w:proofErr w:type="spellEnd"/>
      <w:r w:rsidRPr="00593549">
        <w:rPr>
          <w:rFonts w:ascii="Times New Roman" w:hAnsi="Times New Roman"/>
        </w:rPr>
        <w:t xml:space="preserve"> group assignments may be attributed to changes in life condition, health status, the respondents (people who participate in the assessment) or other unique factors.</w:t>
      </w:r>
    </w:p>
    <w:p w:rsidR="00593549" w:rsidRPr="00593549" w:rsidRDefault="00593549" w:rsidP="00593549">
      <w:pPr>
        <w:pStyle w:val="ColorfulList-Accent11"/>
        <w:ind w:left="0"/>
        <w:rPr>
          <w:rFonts w:ascii="Times New Roman" w:hAnsi="Times New Roman"/>
          <w:b/>
          <w:sz w:val="16"/>
          <w:szCs w:val="16"/>
        </w:rPr>
      </w:pPr>
    </w:p>
    <w:p w:rsidR="0044740E" w:rsidRDefault="0044740E" w:rsidP="00B86186">
      <w:pPr>
        <w:pStyle w:val="ColorfulList-Accent11"/>
        <w:ind w:left="0"/>
        <w:rPr>
          <w:rFonts w:ascii="Times New Roman" w:hAnsi="Times New Roman"/>
          <w:b/>
          <w:smallCaps/>
          <w:color w:val="984806" w:themeColor="accent6" w:themeShade="80"/>
          <w:u w:val="single"/>
        </w:rPr>
      </w:pPr>
    </w:p>
    <w:p w:rsidR="0044740E" w:rsidRDefault="0044740E" w:rsidP="00B86186">
      <w:pPr>
        <w:pStyle w:val="ColorfulList-Accent11"/>
        <w:ind w:left="0"/>
        <w:rPr>
          <w:rFonts w:ascii="Times New Roman" w:hAnsi="Times New Roman"/>
          <w:b/>
          <w:smallCaps/>
          <w:color w:val="984806" w:themeColor="accent6" w:themeShade="80"/>
          <w:u w:val="single"/>
        </w:rPr>
      </w:pPr>
    </w:p>
    <w:p w:rsidR="00B86186" w:rsidRPr="00B86186" w:rsidRDefault="00593549" w:rsidP="00B86186">
      <w:pPr>
        <w:pStyle w:val="ColorfulList-Accent11"/>
        <w:ind w:left="0"/>
        <w:rPr>
          <w:rFonts w:ascii="Times New Roman" w:hAnsi="Times New Roman"/>
          <w:b/>
        </w:rPr>
      </w:pPr>
      <w:r>
        <w:rPr>
          <w:rFonts w:ascii="Times New Roman" w:hAnsi="Times New Roman"/>
          <w:b/>
          <w:smallCaps/>
          <w:color w:val="984806" w:themeColor="accent6" w:themeShade="80"/>
          <w:u w:val="single"/>
        </w:rPr>
        <w:lastRenderedPageBreak/>
        <w:t>Cost To Conduct SIS Assessments</w:t>
      </w:r>
      <w:r w:rsidRPr="00B86186">
        <w:rPr>
          <w:rFonts w:ascii="Times New Roman" w:hAnsi="Times New Roman"/>
          <w:b/>
          <w:smallCaps/>
          <w:color w:val="984806" w:themeColor="accent6" w:themeShade="80"/>
          <w:u w:val="single"/>
        </w:rPr>
        <w:t>:</w:t>
      </w:r>
      <w:r w:rsidRPr="00B86186">
        <w:rPr>
          <w:b/>
          <w:smallCaps/>
          <w:color w:val="984806" w:themeColor="accent6" w:themeShade="80"/>
        </w:rPr>
        <w:t xml:space="preserve">  </w:t>
      </w:r>
      <w:r w:rsidR="00B86186" w:rsidRPr="00B86186">
        <w:rPr>
          <w:rFonts w:ascii="Times New Roman" w:hAnsi="Times New Roman"/>
        </w:rPr>
        <w:t xml:space="preserve">In fiscal years 2011 through 2013, the state paid </w:t>
      </w:r>
      <w:proofErr w:type="spellStart"/>
      <w:r w:rsidR="00B86186" w:rsidRPr="00B86186">
        <w:rPr>
          <w:rFonts w:ascii="Times New Roman" w:hAnsi="Times New Roman"/>
        </w:rPr>
        <w:t>AAIDD</w:t>
      </w:r>
      <w:proofErr w:type="spellEnd"/>
      <w:r w:rsidR="00B86186" w:rsidRPr="00B86186">
        <w:rPr>
          <w:rFonts w:ascii="Times New Roman" w:hAnsi="Times New Roman"/>
        </w:rPr>
        <w:t xml:space="preserve"> approximately $3.3 million dollars to conduct SIS assessments and trainings (for respondents, other stakeholder and state staff) as requested.</w:t>
      </w:r>
    </w:p>
    <w:p w:rsidR="0044740E" w:rsidRPr="00E7753A" w:rsidRDefault="0044740E" w:rsidP="00E7753A">
      <w:pPr>
        <w:spacing w:after="120"/>
        <w:rPr>
          <w:b/>
          <w:caps/>
          <w:color w:val="984806" w:themeColor="accent6" w:themeShade="80"/>
          <w:sz w:val="22"/>
          <w:szCs w:val="22"/>
        </w:rPr>
        <w:sectPr w:rsidR="0044740E" w:rsidRPr="00E7753A" w:rsidSect="0044740E">
          <w:type w:val="continuous"/>
          <w:pgSz w:w="12240" w:h="15840"/>
          <w:pgMar w:top="1440" w:right="1152" w:bottom="450" w:left="1152" w:header="270" w:footer="491" w:gutter="0"/>
          <w:cols w:num="2" w:sep="1" w:space="720"/>
          <w:docGrid w:linePitch="360"/>
        </w:sectPr>
      </w:pPr>
      <w:r>
        <w:rPr>
          <w:rFonts w:ascii="Times New Roman Bold" w:hAnsi="Times New Roman Bold"/>
          <w:b/>
          <w:smallCaps/>
          <w:color w:val="984806" w:themeColor="accent6" w:themeShade="80"/>
          <w:sz w:val="22"/>
          <w:szCs w:val="22"/>
          <w:u w:val="single"/>
        </w:rPr>
        <w:t>M</w:t>
      </w:r>
      <w:r w:rsidR="00385273" w:rsidRPr="0044740E">
        <w:rPr>
          <w:rFonts w:ascii="Times New Roman Bold" w:hAnsi="Times New Roman Bold"/>
          <w:b/>
          <w:smallCaps/>
          <w:color w:val="984806" w:themeColor="accent6" w:themeShade="80"/>
          <w:sz w:val="22"/>
          <w:szCs w:val="22"/>
          <w:u w:val="single"/>
        </w:rPr>
        <w:t xml:space="preserve">anagement </w:t>
      </w:r>
      <w:r>
        <w:rPr>
          <w:rFonts w:ascii="Times New Roman Bold" w:hAnsi="Times New Roman Bold"/>
          <w:b/>
          <w:smallCaps/>
          <w:color w:val="984806" w:themeColor="accent6" w:themeShade="80"/>
          <w:sz w:val="22"/>
          <w:szCs w:val="22"/>
          <w:u w:val="single"/>
        </w:rPr>
        <w:t>O</w:t>
      </w:r>
      <w:r w:rsidR="00385273" w:rsidRPr="0044740E">
        <w:rPr>
          <w:rFonts w:ascii="Times New Roman Bold" w:hAnsi="Times New Roman Bold"/>
          <w:b/>
          <w:smallCaps/>
          <w:color w:val="984806" w:themeColor="accent6" w:themeShade="80"/>
          <w:sz w:val="22"/>
          <w:szCs w:val="22"/>
          <w:u w:val="single"/>
        </w:rPr>
        <w:t xml:space="preserve">f </w:t>
      </w:r>
      <w:r>
        <w:rPr>
          <w:rFonts w:ascii="Times New Roman Bold" w:hAnsi="Times New Roman Bold"/>
          <w:b/>
          <w:smallCaps/>
          <w:color w:val="984806" w:themeColor="accent6" w:themeShade="80"/>
          <w:sz w:val="22"/>
          <w:szCs w:val="22"/>
          <w:u w:val="single"/>
        </w:rPr>
        <w:t>A</w:t>
      </w:r>
      <w:r w:rsidR="00385273" w:rsidRPr="0044740E">
        <w:rPr>
          <w:rFonts w:ascii="Times New Roman Bold" w:hAnsi="Times New Roman Bold"/>
          <w:b/>
          <w:smallCaps/>
          <w:color w:val="984806" w:themeColor="accent6" w:themeShade="80"/>
          <w:sz w:val="22"/>
          <w:szCs w:val="22"/>
          <w:u w:val="single"/>
        </w:rPr>
        <w:t>ttrition</w:t>
      </w:r>
      <w:r w:rsidR="00385273">
        <w:rPr>
          <w:b/>
          <w:caps/>
          <w:color w:val="984806" w:themeColor="accent6" w:themeShade="80"/>
          <w:sz w:val="22"/>
          <w:szCs w:val="22"/>
        </w:rPr>
        <w:t>:</w:t>
      </w:r>
      <w:r>
        <w:rPr>
          <w:b/>
          <w:caps/>
          <w:color w:val="984806" w:themeColor="accent6" w:themeShade="80"/>
          <w:sz w:val="22"/>
          <w:szCs w:val="22"/>
        </w:rPr>
        <w:t xml:space="preserve">  </w:t>
      </w:r>
      <w:r w:rsidR="00385273" w:rsidRPr="00385273">
        <w:rPr>
          <w:color w:val="auto"/>
          <w:sz w:val="22"/>
          <w:szCs w:val="22"/>
        </w:rPr>
        <w:t xml:space="preserve">Through enhanced attrition management, the DOH will actively replace people as they leave the program.  Attrition rates from the </w:t>
      </w:r>
      <w:proofErr w:type="spellStart"/>
      <w:r w:rsidR="00385273" w:rsidRPr="00385273">
        <w:rPr>
          <w:color w:val="auto"/>
          <w:sz w:val="22"/>
          <w:szCs w:val="22"/>
        </w:rPr>
        <w:t>DDW</w:t>
      </w:r>
      <w:proofErr w:type="spellEnd"/>
      <w:r w:rsidR="00385273" w:rsidRPr="00385273">
        <w:rPr>
          <w:color w:val="auto"/>
          <w:sz w:val="22"/>
          <w:szCs w:val="22"/>
        </w:rPr>
        <w:t xml:space="preserve"> averages about 70 individuals each year.  In the past attrition was used only to cover the need for expedited allocations to the waiver. Beginning in FY13 attrition will be used to make a combination of regular and expedited allocations from the waiting list.  This will stabilize program enrollment and support program growth over time.</w:t>
      </w:r>
    </w:p>
    <w:p w:rsidR="0044740E" w:rsidRPr="0044740E" w:rsidRDefault="0044740E" w:rsidP="0044740E">
      <w:pPr>
        <w:spacing w:before="120" w:after="120"/>
        <w:rPr>
          <w:rFonts w:ascii="Times New Roman Bold" w:hAnsi="Times New Roman Bold"/>
          <w:b/>
          <w:smallCaps/>
          <w:color w:val="31849B" w:themeColor="accent5" w:themeShade="BF"/>
          <w:sz w:val="22"/>
          <w:szCs w:val="22"/>
        </w:rPr>
      </w:pPr>
      <w:r w:rsidRPr="0044740E">
        <w:rPr>
          <w:rFonts w:ascii="Times New Roman Bold" w:hAnsi="Times New Roman Bold"/>
          <w:b/>
          <w:smallCaps/>
          <w:color w:val="31849B" w:themeColor="accent5" w:themeShade="BF"/>
          <w:sz w:val="22"/>
          <w:szCs w:val="22"/>
        </w:rPr>
        <w:lastRenderedPageBreak/>
        <w:t>Technical Assistance</w:t>
      </w:r>
    </w:p>
    <w:p w:rsidR="0044740E" w:rsidRDefault="0044740E" w:rsidP="0044740E">
      <w:pPr>
        <w:spacing w:after="120"/>
        <w:rPr>
          <w:sz w:val="22"/>
          <w:szCs w:val="22"/>
        </w:rPr>
      </w:pPr>
      <w:r w:rsidRPr="0044740E">
        <w:rPr>
          <w:sz w:val="22"/>
          <w:szCs w:val="22"/>
        </w:rPr>
        <w:t xml:space="preserve">DOH is committed to providing the necessary information to individuals, providers and teams to understand </w:t>
      </w:r>
      <w:proofErr w:type="gramStart"/>
      <w:r w:rsidRPr="0044740E">
        <w:rPr>
          <w:sz w:val="22"/>
          <w:szCs w:val="22"/>
        </w:rPr>
        <w:t>the system changes being made and how to use the information for person centered planning</w:t>
      </w:r>
      <w:proofErr w:type="gramEnd"/>
      <w:r w:rsidRPr="0044740E">
        <w:rPr>
          <w:sz w:val="22"/>
          <w:szCs w:val="22"/>
        </w:rPr>
        <w:t xml:space="preserve"> and to develop budgets.  Technical assistance is available from all </w:t>
      </w:r>
      <w:proofErr w:type="spellStart"/>
      <w:r w:rsidRPr="0044740E">
        <w:rPr>
          <w:sz w:val="22"/>
          <w:szCs w:val="22"/>
        </w:rPr>
        <w:t>DDSD</w:t>
      </w:r>
      <w:proofErr w:type="spellEnd"/>
      <w:r w:rsidRPr="0044740E">
        <w:rPr>
          <w:sz w:val="22"/>
          <w:szCs w:val="22"/>
        </w:rPr>
        <w:t xml:space="preserve"> regional offices.</w:t>
      </w:r>
    </w:p>
    <w:p w:rsidR="0044740E" w:rsidRPr="0044740E" w:rsidRDefault="0044740E" w:rsidP="0044740E">
      <w:pPr>
        <w:spacing w:after="120"/>
        <w:rPr>
          <w:sz w:val="22"/>
          <w:szCs w:val="22"/>
        </w:rPr>
      </w:pPr>
    </w:p>
    <w:tbl>
      <w:tblPr>
        <w:tblStyle w:val="TableGrid"/>
        <w:tblW w:w="8977" w:type="dxa"/>
        <w:jc w:val="center"/>
        <w:tblLook w:val="04A0" w:firstRow="1" w:lastRow="0" w:firstColumn="1" w:lastColumn="0" w:noHBand="0" w:noVBand="1"/>
      </w:tblPr>
      <w:tblGrid>
        <w:gridCol w:w="4680"/>
        <w:gridCol w:w="4297"/>
      </w:tblGrid>
      <w:tr w:rsidR="0044740E" w:rsidRPr="005B4E45" w:rsidTr="005B4E45">
        <w:trPr>
          <w:trHeight w:val="1008"/>
          <w:jc w:val="center"/>
        </w:trPr>
        <w:tc>
          <w:tcPr>
            <w:tcW w:w="4680" w:type="dxa"/>
            <w:vAlign w:val="center"/>
          </w:tcPr>
          <w:p w:rsidR="0044740E" w:rsidRPr="005B4E45" w:rsidRDefault="0044740E" w:rsidP="005B4E45">
            <w:pPr>
              <w:rPr>
                <w:color w:val="auto"/>
                <w:kern w:val="0"/>
                <w:sz w:val="22"/>
                <w:szCs w:val="22"/>
              </w:rPr>
            </w:pPr>
            <w:r w:rsidRPr="005B4E45">
              <w:rPr>
                <w:color w:val="auto"/>
                <w:kern w:val="0"/>
                <w:sz w:val="22"/>
                <w:szCs w:val="22"/>
              </w:rPr>
              <w:t>Metro Regional Office</w:t>
            </w:r>
            <w:r w:rsidRPr="005B4E45">
              <w:rPr>
                <w:color w:val="auto"/>
                <w:kern w:val="0"/>
                <w:sz w:val="22"/>
                <w:szCs w:val="22"/>
              </w:rPr>
              <w:br/>
              <w:t xml:space="preserve">Main: (505) 841-5500  </w:t>
            </w:r>
          </w:p>
          <w:p w:rsidR="0044740E" w:rsidRPr="005B4E45" w:rsidRDefault="0044740E" w:rsidP="005B4E45">
            <w:pPr>
              <w:rPr>
                <w:sz w:val="22"/>
                <w:szCs w:val="22"/>
              </w:rPr>
            </w:pPr>
            <w:r w:rsidRPr="005B4E45">
              <w:rPr>
                <w:color w:val="auto"/>
                <w:kern w:val="0"/>
                <w:sz w:val="22"/>
                <w:szCs w:val="22"/>
              </w:rPr>
              <w:t>Toll Free: (800) 283-5548</w:t>
            </w:r>
          </w:p>
        </w:tc>
        <w:tc>
          <w:tcPr>
            <w:tcW w:w="4297" w:type="dxa"/>
            <w:vAlign w:val="center"/>
          </w:tcPr>
          <w:p w:rsidR="0044740E" w:rsidRPr="005B4E45" w:rsidRDefault="0044740E" w:rsidP="005B4E45">
            <w:pPr>
              <w:spacing w:after="60"/>
              <w:rPr>
                <w:sz w:val="22"/>
                <w:szCs w:val="22"/>
              </w:rPr>
            </w:pPr>
            <w:r w:rsidRPr="005B4E45">
              <w:rPr>
                <w:color w:val="auto"/>
                <w:kern w:val="0"/>
                <w:sz w:val="22"/>
                <w:szCs w:val="22"/>
              </w:rPr>
              <w:t>Counties of Bernalillo, Sandoval, Torrance, and Valencia</w:t>
            </w:r>
          </w:p>
        </w:tc>
      </w:tr>
      <w:tr w:rsidR="0044740E" w:rsidRPr="005B4E45" w:rsidTr="005B4E45">
        <w:trPr>
          <w:trHeight w:val="1008"/>
          <w:jc w:val="center"/>
        </w:trPr>
        <w:tc>
          <w:tcPr>
            <w:tcW w:w="4680" w:type="dxa"/>
            <w:vAlign w:val="center"/>
          </w:tcPr>
          <w:p w:rsidR="0044740E" w:rsidRPr="005B4E45" w:rsidRDefault="0044740E" w:rsidP="005B4E45">
            <w:pPr>
              <w:rPr>
                <w:color w:val="auto"/>
                <w:kern w:val="0"/>
                <w:sz w:val="22"/>
                <w:szCs w:val="22"/>
              </w:rPr>
            </w:pPr>
            <w:r w:rsidRPr="005B4E45">
              <w:rPr>
                <w:color w:val="auto"/>
                <w:kern w:val="0"/>
                <w:sz w:val="22"/>
                <w:szCs w:val="22"/>
              </w:rPr>
              <w:t>Northwest Regional Office</w:t>
            </w:r>
            <w:r w:rsidRPr="005B4E45">
              <w:rPr>
                <w:color w:val="auto"/>
                <w:kern w:val="0"/>
                <w:sz w:val="22"/>
                <w:szCs w:val="22"/>
              </w:rPr>
              <w:br/>
              <w:t xml:space="preserve">Main: (505) 863-9937  </w:t>
            </w:r>
          </w:p>
          <w:p w:rsidR="0044740E" w:rsidRPr="005B4E45" w:rsidRDefault="0044740E" w:rsidP="005B4E45">
            <w:pPr>
              <w:rPr>
                <w:sz w:val="22"/>
                <w:szCs w:val="22"/>
              </w:rPr>
            </w:pPr>
            <w:r w:rsidRPr="005B4E45">
              <w:rPr>
                <w:color w:val="auto"/>
                <w:kern w:val="0"/>
                <w:sz w:val="22"/>
                <w:szCs w:val="22"/>
              </w:rPr>
              <w:t>Toll Free: (866) 862-0448</w:t>
            </w:r>
          </w:p>
        </w:tc>
        <w:tc>
          <w:tcPr>
            <w:tcW w:w="4297" w:type="dxa"/>
            <w:vAlign w:val="center"/>
          </w:tcPr>
          <w:p w:rsidR="0044740E" w:rsidRPr="005B4E45" w:rsidRDefault="0044740E" w:rsidP="005B4E45">
            <w:pPr>
              <w:spacing w:after="60"/>
              <w:rPr>
                <w:sz w:val="22"/>
                <w:szCs w:val="22"/>
              </w:rPr>
            </w:pPr>
            <w:r w:rsidRPr="005B4E45">
              <w:rPr>
                <w:color w:val="auto"/>
                <w:kern w:val="0"/>
                <w:sz w:val="22"/>
                <w:szCs w:val="22"/>
              </w:rPr>
              <w:t>Counties of Cibola, McKinley and San Juan</w:t>
            </w:r>
          </w:p>
        </w:tc>
      </w:tr>
      <w:tr w:rsidR="0044740E" w:rsidRPr="005B4E45" w:rsidTr="005B4E45">
        <w:trPr>
          <w:trHeight w:val="1008"/>
          <w:jc w:val="center"/>
        </w:trPr>
        <w:tc>
          <w:tcPr>
            <w:tcW w:w="4680" w:type="dxa"/>
            <w:vAlign w:val="center"/>
          </w:tcPr>
          <w:p w:rsidR="0044740E" w:rsidRPr="005B4E45" w:rsidRDefault="0044740E" w:rsidP="005B4E45">
            <w:pPr>
              <w:rPr>
                <w:color w:val="auto"/>
                <w:kern w:val="0"/>
                <w:sz w:val="22"/>
                <w:szCs w:val="22"/>
              </w:rPr>
            </w:pPr>
            <w:r w:rsidRPr="005B4E45">
              <w:rPr>
                <w:color w:val="auto"/>
                <w:kern w:val="0"/>
                <w:sz w:val="22"/>
                <w:szCs w:val="22"/>
              </w:rPr>
              <w:t>Northeast Regional Office</w:t>
            </w:r>
            <w:r w:rsidRPr="005B4E45">
              <w:rPr>
                <w:color w:val="auto"/>
                <w:kern w:val="0"/>
                <w:sz w:val="22"/>
                <w:szCs w:val="22"/>
              </w:rPr>
              <w:br/>
              <w:t xml:space="preserve">Main: (575) 758-5934 </w:t>
            </w:r>
          </w:p>
          <w:p w:rsidR="0044740E" w:rsidRPr="005B4E45" w:rsidRDefault="0044740E" w:rsidP="005B4E45">
            <w:pPr>
              <w:rPr>
                <w:sz w:val="22"/>
                <w:szCs w:val="22"/>
              </w:rPr>
            </w:pPr>
            <w:r w:rsidRPr="005B4E45">
              <w:rPr>
                <w:color w:val="auto"/>
                <w:kern w:val="0"/>
                <w:sz w:val="22"/>
                <w:szCs w:val="22"/>
              </w:rPr>
              <w:t>Toll Free: (866) 315-7123</w:t>
            </w:r>
          </w:p>
        </w:tc>
        <w:tc>
          <w:tcPr>
            <w:tcW w:w="4297" w:type="dxa"/>
            <w:vAlign w:val="center"/>
          </w:tcPr>
          <w:p w:rsidR="0044740E" w:rsidRPr="005B4E45" w:rsidRDefault="0044740E" w:rsidP="005B4E45">
            <w:pPr>
              <w:spacing w:after="60"/>
              <w:rPr>
                <w:sz w:val="22"/>
                <w:szCs w:val="22"/>
              </w:rPr>
            </w:pPr>
            <w:r w:rsidRPr="005B4E45">
              <w:rPr>
                <w:color w:val="auto"/>
                <w:kern w:val="0"/>
                <w:sz w:val="22"/>
                <w:szCs w:val="22"/>
              </w:rPr>
              <w:t>Counties of Colfax, Harding, Los Alamos, Mora, Rio Arriba, San Miguel, Santa Fe, Taos and Union</w:t>
            </w:r>
          </w:p>
        </w:tc>
      </w:tr>
      <w:tr w:rsidR="0044740E" w:rsidRPr="005B4E45" w:rsidTr="005B4E45">
        <w:trPr>
          <w:trHeight w:val="1008"/>
          <w:jc w:val="center"/>
        </w:trPr>
        <w:tc>
          <w:tcPr>
            <w:tcW w:w="4680" w:type="dxa"/>
            <w:vAlign w:val="center"/>
          </w:tcPr>
          <w:p w:rsidR="0044740E" w:rsidRPr="005B4E45" w:rsidRDefault="0044740E" w:rsidP="005B4E45">
            <w:pPr>
              <w:rPr>
                <w:color w:val="auto"/>
                <w:kern w:val="0"/>
                <w:sz w:val="22"/>
                <w:szCs w:val="22"/>
              </w:rPr>
            </w:pPr>
            <w:r w:rsidRPr="005B4E45">
              <w:rPr>
                <w:color w:val="auto"/>
                <w:kern w:val="0"/>
                <w:sz w:val="22"/>
                <w:szCs w:val="22"/>
              </w:rPr>
              <w:t>Southwest Regional Office</w:t>
            </w:r>
            <w:r w:rsidRPr="005B4E45">
              <w:rPr>
                <w:color w:val="auto"/>
                <w:kern w:val="0"/>
                <w:sz w:val="22"/>
                <w:szCs w:val="22"/>
              </w:rPr>
              <w:br/>
              <w:t xml:space="preserve">Main: (575) 528-5180  </w:t>
            </w:r>
          </w:p>
          <w:p w:rsidR="0044740E" w:rsidRPr="005B4E45" w:rsidRDefault="0044740E" w:rsidP="005B4E45">
            <w:pPr>
              <w:rPr>
                <w:sz w:val="22"/>
                <w:szCs w:val="22"/>
              </w:rPr>
            </w:pPr>
            <w:r w:rsidRPr="005B4E45">
              <w:rPr>
                <w:color w:val="auto"/>
                <w:kern w:val="0"/>
                <w:sz w:val="22"/>
                <w:szCs w:val="22"/>
              </w:rPr>
              <w:t>Toll Free: (866) 742-5226</w:t>
            </w:r>
          </w:p>
        </w:tc>
        <w:tc>
          <w:tcPr>
            <w:tcW w:w="4297" w:type="dxa"/>
            <w:vAlign w:val="center"/>
          </w:tcPr>
          <w:p w:rsidR="0044740E" w:rsidRPr="005B4E45" w:rsidRDefault="0044740E" w:rsidP="005B4E45">
            <w:pPr>
              <w:spacing w:after="60"/>
              <w:rPr>
                <w:sz w:val="22"/>
                <w:szCs w:val="22"/>
              </w:rPr>
            </w:pPr>
            <w:r w:rsidRPr="005B4E45">
              <w:rPr>
                <w:color w:val="auto"/>
                <w:kern w:val="0"/>
                <w:sz w:val="22"/>
                <w:szCs w:val="22"/>
              </w:rPr>
              <w:t>Counties of Catron, Dona Ana, Grant, Hidalgo, Luna, Otero, Sierra and Socorro</w:t>
            </w:r>
          </w:p>
        </w:tc>
      </w:tr>
      <w:tr w:rsidR="0044740E" w:rsidRPr="005B4E45" w:rsidTr="005B4E45">
        <w:trPr>
          <w:trHeight w:val="1008"/>
          <w:jc w:val="center"/>
        </w:trPr>
        <w:tc>
          <w:tcPr>
            <w:tcW w:w="4680" w:type="dxa"/>
            <w:vAlign w:val="center"/>
          </w:tcPr>
          <w:p w:rsidR="0044740E" w:rsidRPr="005B4E45" w:rsidRDefault="0044740E" w:rsidP="005B4E45">
            <w:pPr>
              <w:rPr>
                <w:color w:val="auto"/>
                <w:kern w:val="0"/>
                <w:sz w:val="22"/>
                <w:szCs w:val="22"/>
              </w:rPr>
            </w:pPr>
            <w:r w:rsidRPr="005B4E45">
              <w:rPr>
                <w:color w:val="auto"/>
                <w:kern w:val="0"/>
                <w:sz w:val="22"/>
                <w:szCs w:val="22"/>
              </w:rPr>
              <w:t>Southeast Regional Office</w:t>
            </w:r>
            <w:r w:rsidRPr="005B4E45">
              <w:rPr>
                <w:color w:val="auto"/>
                <w:kern w:val="0"/>
                <w:sz w:val="22"/>
                <w:szCs w:val="22"/>
              </w:rPr>
              <w:br/>
              <w:t xml:space="preserve">Main: (575) 624-6100  </w:t>
            </w:r>
          </w:p>
          <w:p w:rsidR="0044740E" w:rsidRPr="005B4E45" w:rsidRDefault="0044740E" w:rsidP="005B4E45">
            <w:pPr>
              <w:rPr>
                <w:sz w:val="22"/>
                <w:szCs w:val="22"/>
              </w:rPr>
            </w:pPr>
            <w:r w:rsidRPr="005B4E45">
              <w:rPr>
                <w:color w:val="auto"/>
                <w:kern w:val="0"/>
                <w:sz w:val="22"/>
                <w:szCs w:val="22"/>
              </w:rPr>
              <w:t>Toll Free: (866) 895-9138</w:t>
            </w:r>
          </w:p>
        </w:tc>
        <w:tc>
          <w:tcPr>
            <w:tcW w:w="4297" w:type="dxa"/>
            <w:vAlign w:val="center"/>
          </w:tcPr>
          <w:p w:rsidR="0044740E" w:rsidRPr="005B4E45" w:rsidRDefault="0044740E" w:rsidP="005B4E45">
            <w:pPr>
              <w:spacing w:after="60"/>
              <w:rPr>
                <w:sz w:val="22"/>
                <w:szCs w:val="22"/>
              </w:rPr>
            </w:pPr>
            <w:r w:rsidRPr="005B4E45">
              <w:rPr>
                <w:color w:val="auto"/>
                <w:kern w:val="0"/>
                <w:sz w:val="22"/>
                <w:szCs w:val="22"/>
              </w:rPr>
              <w:t>Counties of Chaves, Curry, De Baca, Eddy, Guadalupe, Lea, Lincoln, Quay and Roosevelt</w:t>
            </w:r>
          </w:p>
        </w:tc>
      </w:tr>
    </w:tbl>
    <w:p w:rsidR="00385273" w:rsidRPr="00332A3E" w:rsidRDefault="00385273" w:rsidP="0044740E">
      <w:pPr>
        <w:rPr>
          <w:caps/>
          <w:color w:val="auto"/>
          <w:sz w:val="22"/>
          <w:szCs w:val="22"/>
        </w:rPr>
      </w:pPr>
    </w:p>
    <w:sectPr w:rsidR="00385273" w:rsidRPr="00332A3E" w:rsidSect="0044740E">
      <w:type w:val="continuous"/>
      <w:pgSz w:w="12240" w:h="15840"/>
      <w:pgMar w:top="1440" w:right="1152" w:bottom="450" w:left="1152" w:header="270" w:footer="491"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755" w:rsidRDefault="00B23755" w:rsidP="00187177">
      <w:r>
        <w:separator/>
      </w:r>
    </w:p>
  </w:endnote>
  <w:endnote w:type="continuationSeparator" w:id="0">
    <w:p w:rsidR="00B23755" w:rsidRDefault="00B23755" w:rsidP="0018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4"/>
        <w:szCs w:val="24"/>
      </w:rPr>
      <w:id w:val="210367452"/>
      <w:docPartObj>
        <w:docPartGallery w:val="Page Numbers (Bottom of Page)"/>
        <w:docPartUnique/>
      </w:docPartObj>
    </w:sdtPr>
    <w:sdtEndPr>
      <w:rPr>
        <w:color w:val="7F7F7F" w:themeColor="background1" w:themeShade="7F"/>
        <w:spacing w:val="60"/>
      </w:rPr>
    </w:sdtEndPr>
    <w:sdtContent>
      <w:p w:rsidR="00385273" w:rsidRPr="00F2102B" w:rsidRDefault="0075613A" w:rsidP="004B601C">
        <w:pPr>
          <w:pBdr>
            <w:top w:val="single" w:sz="4" w:space="1" w:color="auto"/>
          </w:pBdr>
          <w:tabs>
            <w:tab w:val="center" w:pos="4680"/>
            <w:tab w:val="right" w:pos="9720"/>
          </w:tabs>
          <w:rPr>
            <w:rFonts w:asciiTheme="minorHAnsi" w:hAnsiTheme="minorHAnsi"/>
            <w:sz w:val="24"/>
            <w:szCs w:val="24"/>
          </w:rPr>
        </w:pPr>
        <w:sdt>
          <w:sdtPr>
            <w:rPr>
              <w:rFonts w:asciiTheme="minorHAnsi" w:hAnsiTheme="minorHAnsi"/>
              <w:sz w:val="24"/>
              <w:szCs w:val="24"/>
            </w:rPr>
            <w:id w:val="210367453"/>
            <w:docPartObj>
              <w:docPartGallery w:val="Page Numbers (Top of Page)"/>
              <w:docPartUnique/>
            </w:docPartObj>
          </w:sdtPr>
          <w:sdtEndPr/>
          <w:sdtContent>
            <w:r w:rsidR="00385273" w:rsidRPr="00F2102B">
              <w:rPr>
                <w:rFonts w:asciiTheme="minorHAnsi" w:hAnsiTheme="minorHAnsi"/>
                <w:sz w:val="24"/>
                <w:szCs w:val="24"/>
              </w:rPr>
              <w:t xml:space="preserve">Page </w:t>
            </w:r>
            <w:r w:rsidR="001C3091" w:rsidRPr="00F2102B">
              <w:rPr>
                <w:rFonts w:asciiTheme="minorHAnsi" w:hAnsiTheme="minorHAnsi"/>
                <w:sz w:val="24"/>
                <w:szCs w:val="24"/>
              </w:rPr>
              <w:fldChar w:fldCharType="begin"/>
            </w:r>
            <w:r w:rsidR="00385273" w:rsidRPr="00F2102B">
              <w:rPr>
                <w:rFonts w:asciiTheme="minorHAnsi" w:hAnsiTheme="minorHAnsi"/>
                <w:sz w:val="24"/>
                <w:szCs w:val="24"/>
              </w:rPr>
              <w:instrText xml:space="preserve"> PAGE </w:instrText>
            </w:r>
            <w:r w:rsidR="001C3091" w:rsidRPr="00F2102B">
              <w:rPr>
                <w:rFonts w:asciiTheme="minorHAnsi" w:hAnsiTheme="minorHAnsi"/>
                <w:sz w:val="24"/>
                <w:szCs w:val="24"/>
              </w:rPr>
              <w:fldChar w:fldCharType="separate"/>
            </w:r>
            <w:r>
              <w:rPr>
                <w:rFonts w:asciiTheme="minorHAnsi" w:hAnsiTheme="minorHAnsi"/>
                <w:noProof/>
                <w:sz w:val="24"/>
                <w:szCs w:val="24"/>
              </w:rPr>
              <w:t>1</w:t>
            </w:r>
            <w:r w:rsidR="001C3091" w:rsidRPr="00F2102B">
              <w:rPr>
                <w:rFonts w:asciiTheme="minorHAnsi" w:hAnsiTheme="minorHAnsi"/>
                <w:noProof/>
                <w:sz w:val="24"/>
                <w:szCs w:val="24"/>
              </w:rPr>
              <w:fldChar w:fldCharType="end"/>
            </w:r>
            <w:r w:rsidR="00385273" w:rsidRPr="00F2102B">
              <w:rPr>
                <w:rFonts w:asciiTheme="minorHAnsi" w:hAnsiTheme="minorHAnsi"/>
                <w:sz w:val="24"/>
                <w:szCs w:val="24"/>
              </w:rPr>
              <w:t xml:space="preserve"> of </w:t>
            </w:r>
            <w:r w:rsidR="001C3091" w:rsidRPr="00F2102B">
              <w:rPr>
                <w:rFonts w:asciiTheme="minorHAnsi" w:hAnsiTheme="minorHAnsi"/>
                <w:sz w:val="24"/>
                <w:szCs w:val="24"/>
              </w:rPr>
              <w:fldChar w:fldCharType="begin"/>
            </w:r>
            <w:r w:rsidR="00385273" w:rsidRPr="00F2102B">
              <w:rPr>
                <w:rFonts w:asciiTheme="minorHAnsi" w:hAnsiTheme="minorHAnsi"/>
                <w:sz w:val="24"/>
                <w:szCs w:val="24"/>
              </w:rPr>
              <w:instrText xml:space="preserve"> NUMPAGES  </w:instrText>
            </w:r>
            <w:r w:rsidR="001C3091" w:rsidRPr="00F2102B">
              <w:rPr>
                <w:rFonts w:asciiTheme="minorHAnsi" w:hAnsiTheme="minorHAnsi"/>
                <w:sz w:val="24"/>
                <w:szCs w:val="24"/>
              </w:rPr>
              <w:fldChar w:fldCharType="separate"/>
            </w:r>
            <w:r>
              <w:rPr>
                <w:rFonts w:asciiTheme="minorHAnsi" w:hAnsiTheme="minorHAnsi"/>
                <w:noProof/>
                <w:sz w:val="24"/>
                <w:szCs w:val="24"/>
              </w:rPr>
              <w:t>2</w:t>
            </w:r>
            <w:r w:rsidR="001C3091" w:rsidRPr="00F2102B">
              <w:rPr>
                <w:rFonts w:asciiTheme="minorHAnsi" w:hAnsiTheme="minorHAnsi"/>
                <w:sz w:val="24"/>
                <w:szCs w:val="24"/>
              </w:rPr>
              <w:fldChar w:fldCharType="end"/>
            </w:r>
          </w:sdtContent>
        </w:sdt>
        <w:r w:rsidR="00385273" w:rsidRPr="00F2102B">
          <w:rPr>
            <w:rFonts w:asciiTheme="minorHAnsi" w:hAnsiTheme="minorHAnsi"/>
            <w:sz w:val="24"/>
            <w:szCs w:val="24"/>
          </w:rPr>
          <w:tab/>
        </w:r>
        <w:r w:rsidR="00385273">
          <w:rPr>
            <w:rFonts w:asciiTheme="minorHAnsi" w:hAnsiTheme="minorHAnsi"/>
            <w:color w:val="31849B" w:themeColor="accent5" w:themeShade="BF"/>
            <w:sz w:val="24"/>
            <w:szCs w:val="24"/>
          </w:rPr>
          <w:tab/>
        </w:r>
      </w:p>
    </w:sdtContent>
  </w:sdt>
  <w:p w:rsidR="00385273" w:rsidRDefault="003852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4"/>
        <w:szCs w:val="24"/>
      </w:rPr>
      <w:id w:val="268778719"/>
      <w:docPartObj>
        <w:docPartGallery w:val="Page Numbers (Bottom of Page)"/>
        <w:docPartUnique/>
      </w:docPartObj>
    </w:sdtPr>
    <w:sdtEndPr>
      <w:rPr>
        <w:color w:val="7F7F7F" w:themeColor="background1" w:themeShade="7F"/>
        <w:spacing w:val="60"/>
      </w:rPr>
    </w:sdtEndPr>
    <w:sdtContent>
      <w:p w:rsidR="00385273" w:rsidRPr="00F2102B" w:rsidRDefault="0075613A" w:rsidP="00BE2DCE">
        <w:pPr>
          <w:pBdr>
            <w:top w:val="single" w:sz="4" w:space="1" w:color="auto"/>
          </w:pBdr>
          <w:tabs>
            <w:tab w:val="center" w:pos="4680"/>
            <w:tab w:val="right" w:pos="9720"/>
          </w:tabs>
          <w:rPr>
            <w:rFonts w:asciiTheme="minorHAnsi" w:hAnsiTheme="minorHAnsi"/>
            <w:sz w:val="24"/>
            <w:szCs w:val="24"/>
          </w:rPr>
        </w:pPr>
        <w:sdt>
          <w:sdtPr>
            <w:rPr>
              <w:rFonts w:asciiTheme="minorHAnsi" w:hAnsiTheme="minorHAnsi"/>
              <w:sz w:val="24"/>
              <w:szCs w:val="24"/>
            </w:rPr>
            <w:id w:val="268778720"/>
            <w:docPartObj>
              <w:docPartGallery w:val="Page Numbers (Top of Page)"/>
              <w:docPartUnique/>
            </w:docPartObj>
          </w:sdtPr>
          <w:sdtEndPr/>
          <w:sdtContent>
            <w:r w:rsidR="00385273" w:rsidRPr="00F2102B">
              <w:rPr>
                <w:rFonts w:asciiTheme="minorHAnsi" w:hAnsiTheme="minorHAnsi"/>
                <w:sz w:val="24"/>
                <w:szCs w:val="24"/>
              </w:rPr>
              <w:t xml:space="preserve">Page </w:t>
            </w:r>
            <w:r w:rsidR="001C3091" w:rsidRPr="00F2102B">
              <w:rPr>
                <w:rFonts w:asciiTheme="minorHAnsi" w:hAnsiTheme="minorHAnsi"/>
                <w:sz w:val="24"/>
                <w:szCs w:val="24"/>
              </w:rPr>
              <w:fldChar w:fldCharType="begin"/>
            </w:r>
            <w:r w:rsidR="00385273" w:rsidRPr="00F2102B">
              <w:rPr>
                <w:rFonts w:asciiTheme="minorHAnsi" w:hAnsiTheme="minorHAnsi"/>
                <w:sz w:val="24"/>
                <w:szCs w:val="24"/>
              </w:rPr>
              <w:instrText xml:space="preserve"> PAGE </w:instrText>
            </w:r>
            <w:r w:rsidR="001C3091" w:rsidRPr="00F2102B">
              <w:rPr>
                <w:rFonts w:asciiTheme="minorHAnsi" w:hAnsiTheme="minorHAnsi"/>
                <w:sz w:val="24"/>
                <w:szCs w:val="24"/>
              </w:rPr>
              <w:fldChar w:fldCharType="separate"/>
            </w:r>
            <w:r>
              <w:rPr>
                <w:rFonts w:asciiTheme="minorHAnsi" w:hAnsiTheme="minorHAnsi"/>
                <w:noProof/>
                <w:sz w:val="24"/>
                <w:szCs w:val="24"/>
              </w:rPr>
              <w:t>2</w:t>
            </w:r>
            <w:r w:rsidR="001C3091" w:rsidRPr="00F2102B">
              <w:rPr>
                <w:rFonts w:asciiTheme="minorHAnsi" w:hAnsiTheme="minorHAnsi"/>
                <w:noProof/>
                <w:sz w:val="24"/>
                <w:szCs w:val="24"/>
              </w:rPr>
              <w:fldChar w:fldCharType="end"/>
            </w:r>
            <w:r w:rsidR="00385273" w:rsidRPr="00F2102B">
              <w:rPr>
                <w:rFonts w:asciiTheme="minorHAnsi" w:hAnsiTheme="minorHAnsi"/>
                <w:sz w:val="24"/>
                <w:szCs w:val="24"/>
              </w:rPr>
              <w:t xml:space="preserve"> of </w:t>
            </w:r>
            <w:r w:rsidR="001C3091" w:rsidRPr="00F2102B">
              <w:rPr>
                <w:rFonts w:asciiTheme="minorHAnsi" w:hAnsiTheme="minorHAnsi"/>
                <w:sz w:val="24"/>
                <w:szCs w:val="24"/>
              </w:rPr>
              <w:fldChar w:fldCharType="begin"/>
            </w:r>
            <w:r w:rsidR="00385273" w:rsidRPr="00F2102B">
              <w:rPr>
                <w:rFonts w:asciiTheme="minorHAnsi" w:hAnsiTheme="minorHAnsi"/>
                <w:sz w:val="24"/>
                <w:szCs w:val="24"/>
              </w:rPr>
              <w:instrText xml:space="preserve"> NUMPAGES  </w:instrText>
            </w:r>
            <w:r w:rsidR="001C3091" w:rsidRPr="00F2102B">
              <w:rPr>
                <w:rFonts w:asciiTheme="minorHAnsi" w:hAnsiTheme="minorHAnsi"/>
                <w:sz w:val="24"/>
                <w:szCs w:val="24"/>
              </w:rPr>
              <w:fldChar w:fldCharType="separate"/>
            </w:r>
            <w:r>
              <w:rPr>
                <w:rFonts w:asciiTheme="minorHAnsi" w:hAnsiTheme="minorHAnsi"/>
                <w:noProof/>
                <w:sz w:val="24"/>
                <w:szCs w:val="24"/>
              </w:rPr>
              <w:t>2</w:t>
            </w:r>
            <w:r w:rsidR="001C3091" w:rsidRPr="00F2102B">
              <w:rPr>
                <w:rFonts w:asciiTheme="minorHAnsi" w:hAnsiTheme="minorHAnsi"/>
                <w:sz w:val="24"/>
                <w:szCs w:val="24"/>
              </w:rPr>
              <w:fldChar w:fldCharType="end"/>
            </w:r>
          </w:sdtContent>
        </w:sdt>
        <w:r w:rsidR="00385273" w:rsidRPr="00F2102B">
          <w:rPr>
            <w:rFonts w:asciiTheme="minorHAnsi" w:hAnsiTheme="minorHAnsi"/>
            <w:sz w:val="24"/>
            <w:szCs w:val="24"/>
          </w:rPr>
          <w:tab/>
        </w:r>
        <w:r w:rsidR="00385273">
          <w:rPr>
            <w:rFonts w:asciiTheme="minorHAnsi" w:hAnsiTheme="minorHAnsi"/>
            <w:color w:val="31849B" w:themeColor="accent5" w:themeShade="BF"/>
            <w:sz w:val="24"/>
            <w:szCs w:val="24"/>
          </w:rP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755" w:rsidRDefault="00B23755" w:rsidP="00187177">
      <w:r>
        <w:separator/>
      </w:r>
    </w:p>
  </w:footnote>
  <w:footnote w:type="continuationSeparator" w:id="0">
    <w:p w:rsidR="00B23755" w:rsidRDefault="00B23755" w:rsidP="00187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40E" w:rsidRPr="0062140D" w:rsidRDefault="005B4E45" w:rsidP="0044740E">
    <w:pPr>
      <w:pStyle w:val="Header"/>
      <w:ind w:hanging="630"/>
      <w:rPr>
        <w:rFonts w:asciiTheme="minorHAnsi" w:hAnsiTheme="minorHAnsi"/>
        <w:b/>
        <w:color w:val="31849B" w:themeColor="accent5" w:themeShade="BF"/>
        <w:sz w:val="28"/>
        <w:szCs w:val="28"/>
      </w:rPr>
    </w:pPr>
    <w:r>
      <w:rPr>
        <w:rFonts w:asciiTheme="minorHAnsi" w:hAnsiTheme="minorHAnsi"/>
        <w:b/>
        <w:noProof/>
        <w:color w:val="31849B" w:themeColor="accent5" w:themeShade="BF"/>
        <w:sz w:val="28"/>
        <w:szCs w:val="28"/>
      </w:rPr>
      <mc:AlternateContent>
        <mc:Choice Requires="wps">
          <w:drawing>
            <wp:anchor distT="0" distB="0" distL="114300" distR="114300" simplePos="0" relativeHeight="251662336" behindDoc="0" locked="0" layoutInCell="1" allowOverlap="1">
              <wp:simplePos x="0" y="0"/>
              <wp:positionH relativeFrom="column">
                <wp:posOffset>-553085</wp:posOffset>
              </wp:positionH>
              <wp:positionV relativeFrom="paragraph">
                <wp:posOffset>207645</wp:posOffset>
              </wp:positionV>
              <wp:extent cx="6861810" cy="9525"/>
              <wp:effectExtent l="18415" t="17145" r="15875"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61810" cy="9525"/>
                      </a:xfrm>
                      <a:prstGeom prst="straightConnector1">
                        <a:avLst/>
                      </a:prstGeom>
                      <a:noFill/>
                      <a:ln w="19050">
                        <a:solidFill>
                          <a:srgbClr val="CC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3.55pt;margin-top:16.35pt;width:540.3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" strokecolor="#c90" strokeweight="1.5pt"/>
          </w:pict>
        </mc:Fallback>
      </mc:AlternateContent>
    </w:r>
    <w:r w:rsidR="00E7753A">
      <w:rPr>
        <w:rFonts w:asciiTheme="minorHAnsi" w:hAnsiTheme="minorHAnsi"/>
        <w:b/>
        <w:color w:val="31849B" w:themeColor="accent5" w:themeShade="BF"/>
        <w:sz w:val="28"/>
        <w:szCs w:val="28"/>
      </w:rPr>
      <w:t>2014 Legislative Session</w:t>
    </w:r>
    <w:r w:rsidR="00E7753A">
      <w:rPr>
        <w:rFonts w:asciiTheme="minorHAnsi" w:hAnsiTheme="minorHAnsi"/>
        <w:b/>
        <w:color w:val="31849B" w:themeColor="accent5" w:themeShade="BF"/>
        <w:sz w:val="28"/>
        <w:szCs w:val="28"/>
      </w:rPr>
      <w:tab/>
    </w:r>
    <w:r w:rsidR="00E7753A">
      <w:rPr>
        <w:rFonts w:asciiTheme="minorHAnsi" w:hAnsiTheme="minorHAnsi"/>
        <w:b/>
        <w:color w:val="31849B" w:themeColor="accent5" w:themeShade="BF"/>
        <w:sz w:val="28"/>
        <w:szCs w:val="28"/>
      </w:rPr>
      <w:tab/>
      <w:t>HSD &amp; DOH Fact Sheet</w:t>
    </w:r>
    <w:r w:rsidR="00E7753A">
      <w:rPr>
        <w:rFonts w:asciiTheme="minorHAnsi" w:hAnsiTheme="minorHAnsi"/>
        <w:b/>
        <w:color w:val="31849B" w:themeColor="accent5" w:themeShade="BF"/>
        <w:sz w:val="28"/>
        <w:szCs w:val="28"/>
      </w:rPr>
      <w:tab/>
    </w:r>
    <w:r w:rsidR="00E7753A" w:rsidRPr="00E7753A">
      <w:rPr>
        <w:rFonts w:asciiTheme="minorHAnsi" w:hAnsiTheme="minorHAnsi"/>
        <w:b/>
        <w:color w:val="31849B" w:themeColor="accent5" w:themeShade="BF"/>
        <w:sz w:val="28"/>
        <w:szCs w:val="28"/>
        <w:u w:val="single"/>
      </w:rPr>
      <w:t>Developmental Disabilities Waiver</w:t>
    </w:r>
    <w:r w:rsidR="00E7753A">
      <w:rPr>
        <w:rFonts w:asciiTheme="minorHAnsi" w:hAnsiTheme="minorHAnsi"/>
        <w:b/>
        <w:color w:val="31849B" w:themeColor="accent5" w:themeShade="BF"/>
        <w:sz w:val="28"/>
        <w:szCs w:val="28"/>
      </w:rPr>
      <w:tab/>
    </w:r>
    <w:r w:rsidR="00E7753A">
      <w:rPr>
        <w:rFonts w:asciiTheme="minorHAnsi" w:hAnsiTheme="minorHAnsi"/>
        <w:b/>
        <w:color w:val="31849B" w:themeColor="accent5" w:themeShade="BF"/>
        <w:sz w:val="28"/>
        <w:szCs w:val="2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273" w:rsidRPr="00E72D32" w:rsidRDefault="005B4E45">
    <w:pPr>
      <w:pStyle w:val="Header"/>
      <w:rPr>
        <w:sz w:val="24"/>
        <w:szCs w:val="24"/>
      </w:rPr>
    </w:pP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-294005</wp:posOffset>
              </wp:positionH>
              <wp:positionV relativeFrom="paragraph">
                <wp:posOffset>55245</wp:posOffset>
              </wp:positionV>
              <wp:extent cx="6861810" cy="9525"/>
              <wp:effectExtent l="10795" t="17145" r="1397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61810" cy="9525"/>
                      </a:xfrm>
                      <a:prstGeom prst="straightConnector1">
                        <a:avLst/>
                      </a:prstGeom>
                      <a:noFill/>
                      <a:ln w="19050">
                        <a:solidFill>
                          <a:srgbClr val="CC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3.15pt;margin-top:4.35pt;width:540.3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" strokecolor="#c90"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6334D"/>
    <w:multiLevelType w:val="hybridMultilevel"/>
    <w:tmpl w:val="9FD66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1D568B"/>
    <w:multiLevelType w:val="hybridMultilevel"/>
    <w:tmpl w:val="11C4F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113D8A"/>
    <w:multiLevelType w:val="hybridMultilevel"/>
    <w:tmpl w:val="237CC396"/>
    <w:lvl w:ilvl="0" w:tplc="AE4E61EE">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8D7A44"/>
    <w:multiLevelType w:val="hybridMultilevel"/>
    <w:tmpl w:val="1CB48CF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8893019"/>
    <w:multiLevelType w:val="hybridMultilevel"/>
    <w:tmpl w:val="D690C980"/>
    <w:lvl w:ilvl="0" w:tplc="B21692F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750318"/>
    <w:multiLevelType w:val="hybridMultilevel"/>
    <w:tmpl w:val="D9E4A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C72B8E"/>
    <w:multiLevelType w:val="hybridMultilevel"/>
    <w:tmpl w:val="4E86B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875E25"/>
    <w:multiLevelType w:val="hybridMultilevel"/>
    <w:tmpl w:val="F400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6756E7"/>
    <w:multiLevelType w:val="hybridMultilevel"/>
    <w:tmpl w:val="242873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B02676"/>
    <w:multiLevelType w:val="hybridMultilevel"/>
    <w:tmpl w:val="6AFA82B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68892E7F"/>
    <w:multiLevelType w:val="hybridMultilevel"/>
    <w:tmpl w:val="E9C83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937BDC"/>
    <w:multiLevelType w:val="hybridMultilevel"/>
    <w:tmpl w:val="D792BA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2F225B"/>
    <w:multiLevelType w:val="hybridMultilevel"/>
    <w:tmpl w:val="BB7E7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CDA2313"/>
    <w:multiLevelType w:val="hybridMultilevel"/>
    <w:tmpl w:val="AD32C8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7D1CBD"/>
    <w:multiLevelType w:val="hybridMultilevel"/>
    <w:tmpl w:val="B74C58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1E3287"/>
    <w:multiLevelType w:val="hybridMultilevel"/>
    <w:tmpl w:val="B4DE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FA1C77"/>
    <w:multiLevelType w:val="hybridMultilevel"/>
    <w:tmpl w:val="8E806D2E"/>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4"/>
  </w:num>
  <w:num w:numId="4">
    <w:abstractNumId w:val="3"/>
  </w:num>
  <w:num w:numId="5">
    <w:abstractNumId w:val="14"/>
  </w:num>
  <w:num w:numId="6">
    <w:abstractNumId w:val="8"/>
  </w:num>
  <w:num w:numId="7">
    <w:abstractNumId w:val="11"/>
  </w:num>
  <w:num w:numId="8">
    <w:abstractNumId w:val="1"/>
  </w:num>
  <w:num w:numId="9">
    <w:abstractNumId w:val="15"/>
  </w:num>
  <w:num w:numId="10">
    <w:abstractNumId w:val="2"/>
  </w:num>
  <w:num w:numId="11">
    <w:abstractNumId w:val="9"/>
  </w:num>
  <w:num w:numId="12">
    <w:abstractNumId w:val="12"/>
  </w:num>
  <w:num w:numId="13">
    <w:abstractNumId w:val="10"/>
  </w:num>
  <w:num w:numId="14">
    <w:abstractNumId w:val="0"/>
  </w:num>
  <w:num w:numId="15">
    <w:abstractNumId w:val="7"/>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24A"/>
    <w:rsid w:val="000035FA"/>
    <w:rsid w:val="000208B4"/>
    <w:rsid w:val="000208E0"/>
    <w:rsid w:val="00040888"/>
    <w:rsid w:val="00053A57"/>
    <w:rsid w:val="000656EE"/>
    <w:rsid w:val="000C648C"/>
    <w:rsid w:val="00107173"/>
    <w:rsid w:val="0012378C"/>
    <w:rsid w:val="00131090"/>
    <w:rsid w:val="0018481C"/>
    <w:rsid w:val="00187177"/>
    <w:rsid w:val="001970F9"/>
    <w:rsid w:val="001C3091"/>
    <w:rsid w:val="001E5C2E"/>
    <w:rsid w:val="00223D76"/>
    <w:rsid w:val="002427B5"/>
    <w:rsid w:val="00267ED6"/>
    <w:rsid w:val="002B1F9F"/>
    <w:rsid w:val="002D4B59"/>
    <w:rsid w:val="002E3CAC"/>
    <w:rsid w:val="00312787"/>
    <w:rsid w:val="00332A3E"/>
    <w:rsid w:val="00333DA7"/>
    <w:rsid w:val="003351A9"/>
    <w:rsid w:val="00365BE1"/>
    <w:rsid w:val="00374CE5"/>
    <w:rsid w:val="00385273"/>
    <w:rsid w:val="003960D9"/>
    <w:rsid w:val="003A2F51"/>
    <w:rsid w:val="003B045F"/>
    <w:rsid w:val="003C430E"/>
    <w:rsid w:val="00410800"/>
    <w:rsid w:val="00443E34"/>
    <w:rsid w:val="0044740E"/>
    <w:rsid w:val="0044747F"/>
    <w:rsid w:val="0049354B"/>
    <w:rsid w:val="004B270A"/>
    <w:rsid w:val="004B601C"/>
    <w:rsid w:val="004D4708"/>
    <w:rsid w:val="005056F5"/>
    <w:rsid w:val="00535253"/>
    <w:rsid w:val="00542871"/>
    <w:rsid w:val="00544905"/>
    <w:rsid w:val="00552EAA"/>
    <w:rsid w:val="00593549"/>
    <w:rsid w:val="005B4E45"/>
    <w:rsid w:val="005D116A"/>
    <w:rsid w:val="00615A39"/>
    <w:rsid w:val="0062140D"/>
    <w:rsid w:val="006249D4"/>
    <w:rsid w:val="00625630"/>
    <w:rsid w:val="00657158"/>
    <w:rsid w:val="0067249E"/>
    <w:rsid w:val="00691A3C"/>
    <w:rsid w:val="006B67B8"/>
    <w:rsid w:val="006C324A"/>
    <w:rsid w:val="006D0B46"/>
    <w:rsid w:val="006D0B62"/>
    <w:rsid w:val="006D25EB"/>
    <w:rsid w:val="006E0AAF"/>
    <w:rsid w:val="0070542E"/>
    <w:rsid w:val="0072730C"/>
    <w:rsid w:val="0075613A"/>
    <w:rsid w:val="00765D42"/>
    <w:rsid w:val="007744EE"/>
    <w:rsid w:val="00790EE3"/>
    <w:rsid w:val="00791F70"/>
    <w:rsid w:val="007C25EE"/>
    <w:rsid w:val="007E63D7"/>
    <w:rsid w:val="007F619C"/>
    <w:rsid w:val="00810116"/>
    <w:rsid w:val="0082053C"/>
    <w:rsid w:val="0084763D"/>
    <w:rsid w:val="0085564E"/>
    <w:rsid w:val="00856D23"/>
    <w:rsid w:val="00861E56"/>
    <w:rsid w:val="008C2835"/>
    <w:rsid w:val="008D611A"/>
    <w:rsid w:val="008E28E6"/>
    <w:rsid w:val="008E43B8"/>
    <w:rsid w:val="008F019A"/>
    <w:rsid w:val="00901E0D"/>
    <w:rsid w:val="00903133"/>
    <w:rsid w:val="009115DE"/>
    <w:rsid w:val="009176FC"/>
    <w:rsid w:val="009322AE"/>
    <w:rsid w:val="009431DA"/>
    <w:rsid w:val="00953B77"/>
    <w:rsid w:val="00962D7E"/>
    <w:rsid w:val="009658CD"/>
    <w:rsid w:val="0096655E"/>
    <w:rsid w:val="00987DBA"/>
    <w:rsid w:val="009B691F"/>
    <w:rsid w:val="009E30AD"/>
    <w:rsid w:val="00A16399"/>
    <w:rsid w:val="00A2066D"/>
    <w:rsid w:val="00A648B8"/>
    <w:rsid w:val="00A91F4C"/>
    <w:rsid w:val="00AC32EA"/>
    <w:rsid w:val="00AC5CE2"/>
    <w:rsid w:val="00AD0E1C"/>
    <w:rsid w:val="00AD4975"/>
    <w:rsid w:val="00B042D1"/>
    <w:rsid w:val="00B23755"/>
    <w:rsid w:val="00B274A8"/>
    <w:rsid w:val="00B37593"/>
    <w:rsid w:val="00B411C4"/>
    <w:rsid w:val="00B560BB"/>
    <w:rsid w:val="00B56606"/>
    <w:rsid w:val="00B60FFE"/>
    <w:rsid w:val="00B6623B"/>
    <w:rsid w:val="00B86186"/>
    <w:rsid w:val="00B9212E"/>
    <w:rsid w:val="00BB4C9D"/>
    <w:rsid w:val="00BE2DCE"/>
    <w:rsid w:val="00BF0925"/>
    <w:rsid w:val="00BF4FA5"/>
    <w:rsid w:val="00BF6A80"/>
    <w:rsid w:val="00C316E1"/>
    <w:rsid w:val="00C546F0"/>
    <w:rsid w:val="00CA22EB"/>
    <w:rsid w:val="00CA60FC"/>
    <w:rsid w:val="00CD603A"/>
    <w:rsid w:val="00CE0813"/>
    <w:rsid w:val="00CE0B92"/>
    <w:rsid w:val="00D30CC1"/>
    <w:rsid w:val="00D46A41"/>
    <w:rsid w:val="00D57412"/>
    <w:rsid w:val="00D57459"/>
    <w:rsid w:val="00D71F31"/>
    <w:rsid w:val="00DB293E"/>
    <w:rsid w:val="00DE3943"/>
    <w:rsid w:val="00E3262C"/>
    <w:rsid w:val="00E56A56"/>
    <w:rsid w:val="00E72D32"/>
    <w:rsid w:val="00E7753A"/>
    <w:rsid w:val="00E82C9F"/>
    <w:rsid w:val="00E90532"/>
    <w:rsid w:val="00EE02A4"/>
    <w:rsid w:val="00EE41A3"/>
    <w:rsid w:val="00F003C0"/>
    <w:rsid w:val="00F11C79"/>
    <w:rsid w:val="00F20593"/>
    <w:rsid w:val="00F2091B"/>
    <w:rsid w:val="00F2102B"/>
    <w:rsid w:val="00F5620D"/>
    <w:rsid w:val="00FD67D3"/>
    <w:rsid w:val="00FE1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24A"/>
    <w:pPr>
      <w:spacing w:after="0" w:line="240" w:lineRule="auto"/>
    </w:pPr>
    <w:rPr>
      <w:rFonts w:ascii="Times New Roman" w:eastAsia="Times New Roman" w:hAnsi="Times New Roman" w:cs="Times New Roman"/>
      <w:color w:val="000000"/>
      <w:kern w:val="28"/>
      <w:sz w:val="20"/>
      <w:szCs w:val="20"/>
    </w:rPr>
  </w:style>
  <w:style w:type="paragraph" w:styleId="Heading1">
    <w:name w:val="heading 1"/>
    <w:basedOn w:val="Normal"/>
    <w:next w:val="Normal"/>
    <w:link w:val="Heading1Char"/>
    <w:uiPriority w:val="9"/>
    <w:qFormat/>
    <w:rsid w:val="006E0A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0A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6E1"/>
    <w:pPr>
      <w:ind w:left="720"/>
      <w:contextualSpacing/>
    </w:pPr>
  </w:style>
  <w:style w:type="paragraph" w:styleId="Header">
    <w:name w:val="header"/>
    <w:basedOn w:val="Normal"/>
    <w:link w:val="HeaderChar"/>
    <w:uiPriority w:val="99"/>
    <w:unhideWhenUsed/>
    <w:rsid w:val="00187177"/>
    <w:pPr>
      <w:tabs>
        <w:tab w:val="center" w:pos="4680"/>
        <w:tab w:val="right" w:pos="9360"/>
      </w:tabs>
    </w:pPr>
  </w:style>
  <w:style w:type="character" w:customStyle="1" w:styleId="HeaderChar">
    <w:name w:val="Header Char"/>
    <w:basedOn w:val="DefaultParagraphFont"/>
    <w:link w:val="Header"/>
    <w:uiPriority w:val="99"/>
    <w:rsid w:val="00187177"/>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187177"/>
    <w:pPr>
      <w:tabs>
        <w:tab w:val="center" w:pos="4680"/>
        <w:tab w:val="right" w:pos="9360"/>
      </w:tabs>
    </w:pPr>
  </w:style>
  <w:style w:type="character" w:customStyle="1" w:styleId="FooterChar">
    <w:name w:val="Footer Char"/>
    <w:basedOn w:val="DefaultParagraphFont"/>
    <w:link w:val="Footer"/>
    <w:uiPriority w:val="99"/>
    <w:rsid w:val="00187177"/>
    <w:rPr>
      <w:rFonts w:ascii="Times New Roman" w:eastAsia="Times New Roman" w:hAnsi="Times New Roman" w:cs="Times New Roman"/>
      <w:color w:val="000000"/>
      <w:kern w:val="28"/>
      <w:sz w:val="20"/>
      <w:szCs w:val="20"/>
    </w:rPr>
  </w:style>
  <w:style w:type="paragraph" w:styleId="BalloonText">
    <w:name w:val="Balloon Text"/>
    <w:basedOn w:val="Normal"/>
    <w:link w:val="BalloonTextChar"/>
    <w:uiPriority w:val="99"/>
    <w:semiHidden/>
    <w:unhideWhenUsed/>
    <w:rsid w:val="00810116"/>
    <w:rPr>
      <w:rFonts w:ascii="Tahoma" w:hAnsi="Tahoma" w:cs="Tahoma"/>
      <w:sz w:val="16"/>
      <w:szCs w:val="16"/>
    </w:rPr>
  </w:style>
  <w:style w:type="character" w:customStyle="1" w:styleId="BalloonTextChar">
    <w:name w:val="Balloon Text Char"/>
    <w:basedOn w:val="DefaultParagraphFont"/>
    <w:link w:val="BalloonText"/>
    <w:uiPriority w:val="99"/>
    <w:semiHidden/>
    <w:rsid w:val="00810116"/>
    <w:rPr>
      <w:rFonts w:ascii="Tahoma" w:eastAsia="Times New Roman" w:hAnsi="Tahoma" w:cs="Tahoma"/>
      <w:color w:val="000000"/>
      <w:kern w:val="28"/>
      <w:sz w:val="16"/>
      <w:szCs w:val="16"/>
    </w:rPr>
  </w:style>
  <w:style w:type="table" w:styleId="TableGrid">
    <w:name w:val="Table Grid"/>
    <w:basedOn w:val="TableNormal"/>
    <w:uiPriority w:val="59"/>
    <w:rsid w:val="00BF6A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6E0AA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6E0AAF"/>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E0AAF"/>
    <w:rPr>
      <w:rFonts w:asciiTheme="majorHAnsi" w:eastAsiaTheme="majorEastAsia" w:hAnsiTheme="majorHAnsi" w:cstheme="majorBidi"/>
      <w:b/>
      <w:bCs/>
      <w:color w:val="4F81BD" w:themeColor="accent1"/>
      <w:kern w:val="28"/>
      <w:sz w:val="26"/>
      <w:szCs w:val="26"/>
    </w:rPr>
  </w:style>
  <w:style w:type="character" w:customStyle="1" w:styleId="Heading1Char">
    <w:name w:val="Heading 1 Char"/>
    <w:basedOn w:val="DefaultParagraphFont"/>
    <w:link w:val="Heading1"/>
    <w:uiPriority w:val="9"/>
    <w:rsid w:val="006E0AAF"/>
    <w:rPr>
      <w:rFonts w:asciiTheme="majorHAnsi" w:eastAsiaTheme="majorEastAsia" w:hAnsiTheme="majorHAnsi" w:cstheme="majorBidi"/>
      <w:b/>
      <w:bCs/>
      <w:color w:val="365F91" w:themeColor="accent1" w:themeShade="BF"/>
      <w:kern w:val="28"/>
      <w:sz w:val="28"/>
      <w:szCs w:val="28"/>
    </w:rPr>
  </w:style>
  <w:style w:type="paragraph" w:styleId="NoSpacing">
    <w:name w:val="No Spacing"/>
    <w:uiPriority w:val="1"/>
    <w:qFormat/>
    <w:rsid w:val="00AC5CE2"/>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62140D"/>
    <w:pPr>
      <w:spacing w:after="200" w:line="276" w:lineRule="auto"/>
      <w:ind w:left="720"/>
      <w:contextualSpacing/>
    </w:pPr>
    <w:rPr>
      <w:rFonts w:ascii="Calibri" w:eastAsia="Calibri" w:hAnsi="Calibri"/>
      <w:color w:val="auto"/>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24A"/>
    <w:pPr>
      <w:spacing w:after="0" w:line="240" w:lineRule="auto"/>
    </w:pPr>
    <w:rPr>
      <w:rFonts w:ascii="Times New Roman" w:eastAsia="Times New Roman" w:hAnsi="Times New Roman" w:cs="Times New Roman"/>
      <w:color w:val="000000"/>
      <w:kern w:val="28"/>
      <w:sz w:val="20"/>
      <w:szCs w:val="20"/>
    </w:rPr>
  </w:style>
  <w:style w:type="paragraph" w:styleId="Heading1">
    <w:name w:val="heading 1"/>
    <w:basedOn w:val="Normal"/>
    <w:next w:val="Normal"/>
    <w:link w:val="Heading1Char"/>
    <w:uiPriority w:val="9"/>
    <w:qFormat/>
    <w:rsid w:val="006E0A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0A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6E1"/>
    <w:pPr>
      <w:ind w:left="720"/>
      <w:contextualSpacing/>
    </w:pPr>
  </w:style>
  <w:style w:type="paragraph" w:styleId="Header">
    <w:name w:val="header"/>
    <w:basedOn w:val="Normal"/>
    <w:link w:val="HeaderChar"/>
    <w:uiPriority w:val="99"/>
    <w:unhideWhenUsed/>
    <w:rsid w:val="00187177"/>
    <w:pPr>
      <w:tabs>
        <w:tab w:val="center" w:pos="4680"/>
        <w:tab w:val="right" w:pos="9360"/>
      </w:tabs>
    </w:pPr>
  </w:style>
  <w:style w:type="character" w:customStyle="1" w:styleId="HeaderChar">
    <w:name w:val="Header Char"/>
    <w:basedOn w:val="DefaultParagraphFont"/>
    <w:link w:val="Header"/>
    <w:uiPriority w:val="99"/>
    <w:rsid w:val="00187177"/>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187177"/>
    <w:pPr>
      <w:tabs>
        <w:tab w:val="center" w:pos="4680"/>
        <w:tab w:val="right" w:pos="9360"/>
      </w:tabs>
    </w:pPr>
  </w:style>
  <w:style w:type="character" w:customStyle="1" w:styleId="FooterChar">
    <w:name w:val="Footer Char"/>
    <w:basedOn w:val="DefaultParagraphFont"/>
    <w:link w:val="Footer"/>
    <w:uiPriority w:val="99"/>
    <w:rsid w:val="00187177"/>
    <w:rPr>
      <w:rFonts w:ascii="Times New Roman" w:eastAsia="Times New Roman" w:hAnsi="Times New Roman" w:cs="Times New Roman"/>
      <w:color w:val="000000"/>
      <w:kern w:val="28"/>
      <w:sz w:val="20"/>
      <w:szCs w:val="20"/>
    </w:rPr>
  </w:style>
  <w:style w:type="paragraph" w:styleId="BalloonText">
    <w:name w:val="Balloon Text"/>
    <w:basedOn w:val="Normal"/>
    <w:link w:val="BalloonTextChar"/>
    <w:uiPriority w:val="99"/>
    <w:semiHidden/>
    <w:unhideWhenUsed/>
    <w:rsid w:val="00810116"/>
    <w:rPr>
      <w:rFonts w:ascii="Tahoma" w:hAnsi="Tahoma" w:cs="Tahoma"/>
      <w:sz w:val="16"/>
      <w:szCs w:val="16"/>
    </w:rPr>
  </w:style>
  <w:style w:type="character" w:customStyle="1" w:styleId="BalloonTextChar">
    <w:name w:val="Balloon Text Char"/>
    <w:basedOn w:val="DefaultParagraphFont"/>
    <w:link w:val="BalloonText"/>
    <w:uiPriority w:val="99"/>
    <w:semiHidden/>
    <w:rsid w:val="00810116"/>
    <w:rPr>
      <w:rFonts w:ascii="Tahoma" w:eastAsia="Times New Roman" w:hAnsi="Tahoma" w:cs="Tahoma"/>
      <w:color w:val="000000"/>
      <w:kern w:val="28"/>
      <w:sz w:val="16"/>
      <w:szCs w:val="16"/>
    </w:rPr>
  </w:style>
  <w:style w:type="table" w:styleId="TableGrid">
    <w:name w:val="Table Grid"/>
    <w:basedOn w:val="TableNormal"/>
    <w:uiPriority w:val="59"/>
    <w:rsid w:val="00BF6A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6E0AA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6E0AAF"/>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E0AAF"/>
    <w:rPr>
      <w:rFonts w:asciiTheme="majorHAnsi" w:eastAsiaTheme="majorEastAsia" w:hAnsiTheme="majorHAnsi" w:cstheme="majorBidi"/>
      <w:b/>
      <w:bCs/>
      <w:color w:val="4F81BD" w:themeColor="accent1"/>
      <w:kern w:val="28"/>
      <w:sz w:val="26"/>
      <w:szCs w:val="26"/>
    </w:rPr>
  </w:style>
  <w:style w:type="character" w:customStyle="1" w:styleId="Heading1Char">
    <w:name w:val="Heading 1 Char"/>
    <w:basedOn w:val="DefaultParagraphFont"/>
    <w:link w:val="Heading1"/>
    <w:uiPriority w:val="9"/>
    <w:rsid w:val="006E0AAF"/>
    <w:rPr>
      <w:rFonts w:asciiTheme="majorHAnsi" w:eastAsiaTheme="majorEastAsia" w:hAnsiTheme="majorHAnsi" w:cstheme="majorBidi"/>
      <w:b/>
      <w:bCs/>
      <w:color w:val="365F91" w:themeColor="accent1" w:themeShade="BF"/>
      <w:kern w:val="28"/>
      <w:sz w:val="28"/>
      <w:szCs w:val="28"/>
    </w:rPr>
  </w:style>
  <w:style w:type="paragraph" w:styleId="NoSpacing">
    <w:name w:val="No Spacing"/>
    <w:uiPriority w:val="1"/>
    <w:qFormat/>
    <w:rsid w:val="00AC5CE2"/>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62140D"/>
    <w:pPr>
      <w:spacing w:after="200" w:line="276" w:lineRule="auto"/>
      <w:ind w:left="720"/>
      <w:contextualSpacing/>
    </w:pPr>
    <w:rPr>
      <w:rFonts w:ascii="Calibri" w:eastAsia="Calibri" w:hAnsi="Calibri"/>
      <w:color w:val="auto"/>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048B79-09C2-4DA0-8C8C-F75BB7322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Developmental Disabilities Medicaid Waiver Fact Sheet</vt:lpstr>
    </vt:vector>
  </TitlesOfParts>
  <Company>HP</Company>
  <LinksUpToDate>false</LinksUpToDate>
  <CharactersWithSpaces>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Disabilities Medicaid Waiver Fact Sheet</dc:title>
  <dc:subject>November 2012</dc:subject>
  <dc:creator>setup</dc:creator>
  <cp:lastModifiedBy>Jonni Lu Pool</cp:lastModifiedBy>
  <cp:revision>3</cp:revision>
  <cp:lastPrinted>2014-01-21T19:56:00Z</cp:lastPrinted>
  <dcterms:created xsi:type="dcterms:W3CDTF">2014-01-18T19:01:00Z</dcterms:created>
  <dcterms:modified xsi:type="dcterms:W3CDTF">2014-01-21T20:17:00Z</dcterms:modified>
</cp:coreProperties>
</file>