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8C206" w14:textId="77777777" w:rsidR="00AA1265" w:rsidRDefault="00AA1265" w:rsidP="00AA1265">
      <w:pPr>
        <w:pStyle w:val="Default"/>
        <w:jc w:val="center"/>
      </w:pPr>
      <w:r>
        <w:rPr>
          <w:b/>
          <w:sz w:val="28"/>
          <w:szCs w:val="28"/>
          <w:u w:val="single"/>
        </w:rPr>
        <w:t>NEW MEXICO MEDICAID PROGRAM – CENTENNIAL CARE</w:t>
      </w:r>
    </w:p>
    <w:p w14:paraId="041835D4" w14:textId="77777777" w:rsidR="00AA1265" w:rsidRDefault="00AA1265" w:rsidP="00AA1265">
      <w:pPr>
        <w:pStyle w:val="Default"/>
        <w:jc w:val="center"/>
      </w:pPr>
    </w:p>
    <w:p w14:paraId="2FD5AABB" w14:textId="77777777" w:rsidR="00035BD2" w:rsidRPr="005F22A1" w:rsidRDefault="00035BD2" w:rsidP="00AA1265">
      <w:pPr>
        <w:pStyle w:val="Default"/>
        <w:jc w:val="both"/>
      </w:pPr>
      <w:r>
        <w:t>Beginning its fourth year in 2017, Centennial Care is changing the healthcare delivery system in New Mexico with a focus on integrated care, including robust care coordination, and its four guiding principles:</w:t>
      </w:r>
    </w:p>
    <w:p w14:paraId="3303A1EC" w14:textId="77777777" w:rsidR="00035BD2" w:rsidRPr="00322289" w:rsidRDefault="00035BD2" w:rsidP="00322289">
      <w:pPr>
        <w:numPr>
          <w:ilvl w:val="1"/>
          <w:numId w:val="31"/>
        </w:numPr>
        <w:rPr>
          <w:rFonts w:ascii="Times New Roman" w:hAnsi="Times New Roman" w:cs="Times New Roman"/>
          <w:sz w:val="24"/>
          <w:szCs w:val="24"/>
        </w:rPr>
      </w:pPr>
      <w:r w:rsidRPr="00322289">
        <w:rPr>
          <w:rFonts w:ascii="Times New Roman" w:hAnsi="Times New Roman" w:cs="Times New Roman"/>
          <w:sz w:val="24"/>
          <w:szCs w:val="24"/>
        </w:rPr>
        <w:t>To cr</w:t>
      </w:r>
      <w:r w:rsidR="00615C33" w:rsidRPr="00322289">
        <w:rPr>
          <w:rFonts w:ascii="Times New Roman" w:hAnsi="Times New Roman" w:cs="Times New Roman"/>
          <w:sz w:val="24"/>
          <w:szCs w:val="24"/>
        </w:rPr>
        <w:t>eate a single, comprehensive delivery system</w:t>
      </w:r>
      <w:r w:rsidRPr="00322289">
        <w:rPr>
          <w:rFonts w:ascii="Times New Roman" w:hAnsi="Times New Roman" w:cs="Times New Roman"/>
          <w:sz w:val="24"/>
          <w:szCs w:val="24"/>
        </w:rPr>
        <w:t>;</w:t>
      </w:r>
    </w:p>
    <w:p w14:paraId="2D67BA58" w14:textId="77777777" w:rsidR="00035BD2" w:rsidRPr="00322289" w:rsidRDefault="00035BD2" w:rsidP="00322289">
      <w:pPr>
        <w:numPr>
          <w:ilvl w:val="1"/>
          <w:numId w:val="31"/>
        </w:numPr>
        <w:rPr>
          <w:rFonts w:ascii="Times New Roman" w:hAnsi="Times New Roman" w:cs="Times New Roman"/>
          <w:sz w:val="24"/>
          <w:szCs w:val="24"/>
        </w:rPr>
      </w:pPr>
      <w:r w:rsidRPr="00322289">
        <w:rPr>
          <w:rFonts w:ascii="Times New Roman" w:hAnsi="Times New Roman" w:cs="Times New Roman"/>
          <w:sz w:val="24"/>
          <w:szCs w:val="24"/>
        </w:rPr>
        <w:t>To p</w:t>
      </w:r>
      <w:r w:rsidR="00615C33" w:rsidRPr="00322289">
        <w:rPr>
          <w:rFonts w:ascii="Times New Roman" w:hAnsi="Times New Roman" w:cs="Times New Roman"/>
          <w:sz w:val="24"/>
          <w:szCs w:val="24"/>
        </w:rPr>
        <w:t>rovide incentives for individuals to take personal responsibility for their health</w:t>
      </w:r>
      <w:r w:rsidRPr="00322289">
        <w:rPr>
          <w:rFonts w:ascii="Times New Roman" w:hAnsi="Times New Roman" w:cs="Times New Roman"/>
          <w:sz w:val="24"/>
          <w:szCs w:val="24"/>
        </w:rPr>
        <w:t>;</w:t>
      </w:r>
    </w:p>
    <w:p w14:paraId="7F64931D" w14:textId="77777777" w:rsidR="005F22A1" w:rsidRPr="00322289" w:rsidRDefault="00035BD2" w:rsidP="00322289">
      <w:pPr>
        <w:numPr>
          <w:ilvl w:val="1"/>
          <w:numId w:val="31"/>
        </w:numPr>
        <w:rPr>
          <w:rFonts w:ascii="Times New Roman" w:hAnsi="Times New Roman" w:cs="Times New Roman"/>
          <w:sz w:val="24"/>
          <w:szCs w:val="24"/>
        </w:rPr>
      </w:pPr>
      <w:r w:rsidRPr="00322289">
        <w:rPr>
          <w:rFonts w:ascii="Times New Roman" w:hAnsi="Times New Roman" w:cs="Times New Roman"/>
          <w:sz w:val="24"/>
          <w:szCs w:val="24"/>
        </w:rPr>
        <w:t>To advance Payment Reform</w:t>
      </w:r>
      <w:r w:rsidR="00615C33" w:rsidRPr="00322289">
        <w:rPr>
          <w:rFonts w:ascii="Times New Roman" w:hAnsi="Times New Roman" w:cs="Times New Roman"/>
          <w:sz w:val="24"/>
          <w:szCs w:val="24"/>
        </w:rPr>
        <w:t xml:space="preserve"> strategies that reward improved outcomes</w:t>
      </w:r>
      <w:r w:rsidRPr="00322289">
        <w:rPr>
          <w:rFonts w:ascii="Times New Roman" w:hAnsi="Times New Roman" w:cs="Times New Roman"/>
          <w:sz w:val="24"/>
          <w:szCs w:val="24"/>
        </w:rPr>
        <w:t>;</w:t>
      </w:r>
      <w:r w:rsidR="00615C33" w:rsidRPr="00322289">
        <w:rPr>
          <w:rFonts w:ascii="Times New Roman" w:hAnsi="Times New Roman" w:cs="Times New Roman"/>
          <w:sz w:val="24"/>
          <w:szCs w:val="24"/>
        </w:rPr>
        <w:t xml:space="preserve"> </w:t>
      </w:r>
      <w:r w:rsidRPr="00322289">
        <w:rPr>
          <w:rFonts w:ascii="Times New Roman" w:hAnsi="Times New Roman" w:cs="Times New Roman"/>
          <w:sz w:val="24"/>
          <w:szCs w:val="24"/>
        </w:rPr>
        <w:t>and</w:t>
      </w:r>
    </w:p>
    <w:p w14:paraId="506CB4DF" w14:textId="77777777" w:rsidR="00555908" w:rsidRDefault="00035BD2" w:rsidP="00322289">
      <w:pPr>
        <w:numPr>
          <w:ilvl w:val="1"/>
          <w:numId w:val="31"/>
        </w:numPr>
      </w:pPr>
      <w:r w:rsidRPr="00322289">
        <w:rPr>
          <w:rFonts w:ascii="Times New Roman" w:hAnsi="Times New Roman" w:cs="Times New Roman"/>
          <w:sz w:val="24"/>
          <w:szCs w:val="24"/>
        </w:rPr>
        <w:t>To s</w:t>
      </w:r>
      <w:r w:rsidR="00615C33" w:rsidRPr="00322289">
        <w:rPr>
          <w:rFonts w:ascii="Times New Roman" w:hAnsi="Times New Roman" w:cs="Times New Roman"/>
          <w:sz w:val="24"/>
          <w:szCs w:val="24"/>
        </w:rPr>
        <w:t xml:space="preserve">eek administrative simplification for the State, for providers and for </w:t>
      </w:r>
      <w:proofErr w:type="gramStart"/>
      <w:r w:rsidR="00615C33" w:rsidRPr="00322289">
        <w:rPr>
          <w:rFonts w:ascii="Times New Roman" w:hAnsi="Times New Roman" w:cs="Times New Roman"/>
          <w:sz w:val="24"/>
          <w:szCs w:val="24"/>
        </w:rPr>
        <w:t>members</w:t>
      </w:r>
      <w:proofErr w:type="gramEnd"/>
      <w:r w:rsidRPr="00322289">
        <w:rPr>
          <w:rFonts w:ascii="Times New Roman" w:hAnsi="Times New Roman" w:cs="Times New Roman"/>
          <w:sz w:val="24"/>
          <w:szCs w:val="24"/>
        </w:rPr>
        <w:t>.</w:t>
      </w:r>
    </w:p>
    <w:p w14:paraId="7563BA3B" w14:textId="77777777" w:rsidR="00EA3156" w:rsidRDefault="00555908" w:rsidP="00EA3156">
      <w:pPr>
        <w:pStyle w:val="Default"/>
        <w:jc w:val="both"/>
        <w:rPr>
          <w:b/>
        </w:rPr>
      </w:pPr>
      <w:r>
        <w:rPr>
          <w:b/>
          <w:u w:val="single"/>
        </w:rPr>
        <w:t>Medicaid Enrollment Greater than Originally Projected</w:t>
      </w:r>
      <w:r w:rsidR="001B3AB7">
        <w:rPr>
          <w:b/>
        </w:rPr>
        <w:t>:  (as of December 2016</w:t>
      </w:r>
      <w:r>
        <w:rPr>
          <w:b/>
        </w:rPr>
        <w:t>)</w:t>
      </w:r>
    </w:p>
    <w:p w14:paraId="0DEC66DE" w14:textId="77777777" w:rsidR="00035BD2" w:rsidRDefault="00035BD2" w:rsidP="00EA3156">
      <w:pPr>
        <w:pStyle w:val="Default"/>
        <w:jc w:val="both"/>
        <w:rPr>
          <w:b/>
        </w:rPr>
      </w:pPr>
      <w:r>
        <w:rPr>
          <w:b/>
        </w:rPr>
        <w:t>The Medicaid program has experienced significant growth in the past three years.  In 2013, we had 37,000 adults in the State Insurance Program and now have more than 250,000 adults in the expansion program—a 575% increase</w:t>
      </w:r>
    </w:p>
    <w:p w14:paraId="413308D2" w14:textId="77777777" w:rsidR="00EA3156" w:rsidRDefault="00EA3156" w:rsidP="00EA3156">
      <w:pPr>
        <w:pStyle w:val="Default"/>
        <w:jc w:val="both"/>
      </w:pPr>
    </w:p>
    <w:p w14:paraId="3FFDD7BB" w14:textId="77777777" w:rsidR="000A58BA" w:rsidRDefault="00555908" w:rsidP="00EA3156">
      <w:pPr>
        <w:pStyle w:val="Default"/>
        <w:numPr>
          <w:ilvl w:val="0"/>
          <w:numId w:val="6"/>
        </w:numPr>
        <w:jc w:val="both"/>
      </w:pPr>
      <w:r>
        <w:t>Total in Medicaid</w:t>
      </w:r>
      <w:r>
        <w:tab/>
      </w:r>
      <w:r>
        <w:tab/>
      </w:r>
      <w:r>
        <w:tab/>
      </w:r>
      <w:r>
        <w:tab/>
      </w:r>
      <w:r>
        <w:tab/>
      </w:r>
      <w:r w:rsidR="001B3AB7">
        <w:t>885,970</w:t>
      </w:r>
      <w:r w:rsidR="00EA3156">
        <w:t xml:space="preserve"> </w:t>
      </w:r>
    </w:p>
    <w:p w14:paraId="5DE646A4" w14:textId="0849F24F" w:rsidR="00EA3156" w:rsidRDefault="00555908" w:rsidP="00EA3156">
      <w:pPr>
        <w:pStyle w:val="Default"/>
        <w:numPr>
          <w:ilvl w:val="0"/>
          <w:numId w:val="6"/>
        </w:numPr>
        <w:jc w:val="both"/>
      </w:pPr>
      <w:r>
        <w:t>Total in Centennial Care</w:t>
      </w:r>
      <w:r>
        <w:tab/>
      </w:r>
      <w:r>
        <w:tab/>
      </w:r>
      <w:r>
        <w:tab/>
      </w:r>
      <w:r>
        <w:tab/>
      </w:r>
      <w:r w:rsidR="001B3AB7">
        <w:t>680,399</w:t>
      </w:r>
      <w:r w:rsidR="00EA3156">
        <w:t xml:space="preserve"> </w:t>
      </w:r>
    </w:p>
    <w:p w14:paraId="6630E010" w14:textId="77777777" w:rsidR="00ED61BB" w:rsidRDefault="00ED61BB" w:rsidP="00ED61BB">
      <w:pPr>
        <w:pStyle w:val="Default"/>
        <w:numPr>
          <w:ilvl w:val="0"/>
          <w:numId w:val="6"/>
        </w:numPr>
        <w:jc w:val="both"/>
      </w:pPr>
      <w:r>
        <w:t>Total in Adult Expansion</w:t>
      </w:r>
      <w:r>
        <w:tab/>
      </w:r>
      <w:r>
        <w:tab/>
      </w:r>
      <w:r>
        <w:tab/>
      </w:r>
      <w:r>
        <w:tab/>
        <w:t>257,649</w:t>
      </w:r>
    </w:p>
    <w:p w14:paraId="7C10A185" w14:textId="77777777" w:rsidR="00555908" w:rsidRDefault="00555908" w:rsidP="00EA3156">
      <w:pPr>
        <w:pStyle w:val="Default"/>
        <w:numPr>
          <w:ilvl w:val="0"/>
          <w:numId w:val="6"/>
        </w:numPr>
        <w:jc w:val="both"/>
      </w:pPr>
      <w:r>
        <w:t>Total in Long-Term Care</w:t>
      </w:r>
      <w:r>
        <w:tab/>
      </w:r>
      <w:r>
        <w:tab/>
      </w:r>
      <w:r>
        <w:tab/>
      </w:r>
      <w:r>
        <w:tab/>
      </w:r>
      <w:r w:rsidR="00873B06">
        <w:t xml:space="preserve"> </w:t>
      </w:r>
      <w:r w:rsidR="001B3AB7">
        <w:t xml:space="preserve"> 34,947</w:t>
      </w:r>
    </w:p>
    <w:p w14:paraId="2511781C" w14:textId="008F7FF8" w:rsidR="00555908" w:rsidRDefault="00555908" w:rsidP="00EA3156">
      <w:pPr>
        <w:pStyle w:val="Default"/>
        <w:numPr>
          <w:ilvl w:val="0"/>
          <w:numId w:val="6"/>
        </w:numPr>
        <w:jc w:val="both"/>
      </w:pPr>
      <w:r>
        <w:t>Total Accessing Community Benefit in 2014</w:t>
      </w:r>
      <w:r>
        <w:tab/>
        <w:t xml:space="preserve"> </w:t>
      </w:r>
      <w:r>
        <w:tab/>
        <w:t xml:space="preserve"> </w:t>
      </w:r>
      <w:r w:rsidR="00873B06">
        <w:t xml:space="preserve"> </w:t>
      </w:r>
      <w:r w:rsidR="001B3AB7">
        <w:t>24,013</w:t>
      </w:r>
    </w:p>
    <w:p w14:paraId="2A398957" w14:textId="1C2D025F" w:rsidR="00C313FE" w:rsidRDefault="00555908" w:rsidP="00541B08">
      <w:pPr>
        <w:pStyle w:val="Default"/>
        <w:numPr>
          <w:ilvl w:val="0"/>
          <w:numId w:val="6"/>
        </w:numPr>
        <w:jc w:val="both"/>
      </w:pPr>
      <w:r>
        <w:t>Total Accessing Community Benefit in 2015</w:t>
      </w:r>
      <w:r>
        <w:tab/>
      </w:r>
      <w:r>
        <w:tab/>
        <w:t xml:space="preserve"> </w:t>
      </w:r>
      <w:r w:rsidR="001B3AB7">
        <w:t xml:space="preserve"> 27,836</w:t>
      </w:r>
      <w:r w:rsidR="00541B08">
        <w:t xml:space="preserve"> </w:t>
      </w:r>
    </w:p>
    <w:p w14:paraId="7C5686CC" w14:textId="05C0AF9D" w:rsidR="002832B8" w:rsidRDefault="00541B08" w:rsidP="00541B08">
      <w:pPr>
        <w:pStyle w:val="Default"/>
        <w:numPr>
          <w:ilvl w:val="0"/>
          <w:numId w:val="6"/>
        </w:numPr>
        <w:jc w:val="both"/>
      </w:pPr>
      <w:r>
        <w:t>Total Accessing Community Benefit i</w:t>
      </w:r>
      <w:r w:rsidR="00C313FE">
        <w:t xml:space="preserve">n 2016 </w:t>
      </w:r>
      <w:r w:rsidR="00C313FE">
        <w:tab/>
        <w:t xml:space="preserve">  27,593 (nine months only)</w:t>
      </w:r>
    </w:p>
    <w:p w14:paraId="1E7E4928" w14:textId="77777777" w:rsidR="002E0BB2" w:rsidRDefault="002E0BB2" w:rsidP="002E0BB2">
      <w:pPr>
        <w:pStyle w:val="Default"/>
        <w:ind w:left="720"/>
        <w:jc w:val="both"/>
      </w:pPr>
    </w:p>
    <w:p w14:paraId="6DC93F8C" w14:textId="77777777" w:rsidR="002832B8" w:rsidRPr="00BF7219" w:rsidRDefault="002832B8" w:rsidP="005F22A1">
      <w:pPr>
        <w:pStyle w:val="Default"/>
        <w:jc w:val="both"/>
      </w:pPr>
      <w:r>
        <w:rPr>
          <w:b/>
          <w:u w:val="single"/>
        </w:rPr>
        <w:t xml:space="preserve">Centennial Care </w:t>
      </w:r>
      <w:r w:rsidR="003D74C1">
        <w:rPr>
          <w:b/>
          <w:u w:val="single"/>
        </w:rPr>
        <w:t>Accomplishments</w:t>
      </w:r>
    </w:p>
    <w:p w14:paraId="5C97CAA7" w14:textId="77777777" w:rsidR="003D74C1" w:rsidRPr="00322289" w:rsidRDefault="003D74C1" w:rsidP="00322289">
      <w:pPr>
        <w:pStyle w:val="NoSpacing"/>
        <w:numPr>
          <w:ilvl w:val="0"/>
          <w:numId w:val="33"/>
        </w:numPr>
        <w:rPr>
          <w:rFonts w:ascii="Times New Roman" w:hAnsi="Times New Roman" w:cs="Times New Roman"/>
          <w:sz w:val="24"/>
          <w:szCs w:val="24"/>
        </w:rPr>
      </w:pPr>
      <w:r w:rsidRPr="00322289">
        <w:rPr>
          <w:rFonts w:ascii="Times New Roman" w:hAnsi="Times New Roman" w:cs="Times New Roman"/>
          <w:sz w:val="24"/>
          <w:szCs w:val="24"/>
        </w:rPr>
        <w:t>Approx</w:t>
      </w:r>
      <w:r w:rsidR="00BF7219" w:rsidRPr="00BF7219">
        <w:rPr>
          <w:rFonts w:ascii="Times New Roman" w:hAnsi="Times New Roman" w:cs="Times New Roman"/>
          <w:sz w:val="24"/>
          <w:szCs w:val="24"/>
        </w:rPr>
        <w:t>imately</w:t>
      </w:r>
      <w:r w:rsidRPr="00322289">
        <w:rPr>
          <w:rFonts w:ascii="Times New Roman" w:hAnsi="Times New Roman" w:cs="Times New Roman"/>
          <w:sz w:val="24"/>
          <w:szCs w:val="24"/>
        </w:rPr>
        <w:t xml:space="preserve"> 950 care coordinators have been hired by </w:t>
      </w:r>
      <w:proofErr w:type="spellStart"/>
      <w:r w:rsidRPr="00322289">
        <w:rPr>
          <w:rFonts w:ascii="Times New Roman" w:hAnsi="Times New Roman" w:cs="Times New Roman"/>
          <w:sz w:val="24"/>
          <w:szCs w:val="24"/>
        </w:rPr>
        <w:t>MCOs</w:t>
      </w:r>
      <w:proofErr w:type="spellEnd"/>
    </w:p>
    <w:p w14:paraId="46465EFB" w14:textId="77777777" w:rsidR="003D74C1" w:rsidRPr="00322289" w:rsidRDefault="003D74C1" w:rsidP="00322289">
      <w:pPr>
        <w:pStyle w:val="NoSpacing"/>
        <w:numPr>
          <w:ilvl w:val="0"/>
          <w:numId w:val="33"/>
        </w:numPr>
        <w:rPr>
          <w:rFonts w:ascii="Times New Roman" w:hAnsi="Times New Roman" w:cs="Times New Roman"/>
          <w:sz w:val="24"/>
          <w:szCs w:val="24"/>
        </w:rPr>
      </w:pPr>
      <w:r w:rsidRPr="00322289">
        <w:rPr>
          <w:rFonts w:ascii="Times New Roman" w:hAnsi="Times New Roman" w:cs="Times New Roman"/>
          <w:sz w:val="24"/>
          <w:szCs w:val="24"/>
        </w:rPr>
        <w:t xml:space="preserve">610,000 health risk assessments administered to members </w:t>
      </w:r>
    </w:p>
    <w:p w14:paraId="14B695C2" w14:textId="77777777" w:rsidR="003D74C1" w:rsidRPr="00322289" w:rsidRDefault="003D74C1" w:rsidP="00322289">
      <w:pPr>
        <w:pStyle w:val="NoSpacing"/>
        <w:numPr>
          <w:ilvl w:val="0"/>
          <w:numId w:val="33"/>
        </w:numPr>
        <w:rPr>
          <w:rFonts w:ascii="Times New Roman" w:hAnsi="Times New Roman" w:cs="Times New Roman"/>
          <w:sz w:val="24"/>
          <w:szCs w:val="24"/>
        </w:rPr>
      </w:pPr>
      <w:r w:rsidRPr="00322289">
        <w:rPr>
          <w:rFonts w:ascii="Times New Roman" w:hAnsi="Times New Roman" w:cs="Times New Roman"/>
          <w:sz w:val="24"/>
          <w:szCs w:val="24"/>
        </w:rPr>
        <w:t>Standardized Health Risk Assessment (</w:t>
      </w:r>
      <w:proofErr w:type="spellStart"/>
      <w:r w:rsidRPr="00322289">
        <w:rPr>
          <w:rFonts w:ascii="Times New Roman" w:hAnsi="Times New Roman" w:cs="Times New Roman"/>
          <w:sz w:val="24"/>
          <w:szCs w:val="24"/>
        </w:rPr>
        <w:t>HRA</w:t>
      </w:r>
      <w:proofErr w:type="spellEnd"/>
      <w:r w:rsidRPr="00322289">
        <w:rPr>
          <w:rFonts w:ascii="Times New Roman" w:hAnsi="Times New Roman" w:cs="Times New Roman"/>
          <w:sz w:val="24"/>
          <w:szCs w:val="24"/>
        </w:rPr>
        <w:t>)</w:t>
      </w:r>
      <w:r w:rsidR="00BF7219" w:rsidRPr="00322289">
        <w:rPr>
          <w:rFonts w:ascii="Times New Roman" w:hAnsi="Times New Roman" w:cs="Times New Roman"/>
          <w:sz w:val="24"/>
          <w:szCs w:val="24"/>
        </w:rPr>
        <w:t xml:space="preserve"> across four </w:t>
      </w:r>
      <w:proofErr w:type="spellStart"/>
      <w:r w:rsidR="00BF7219" w:rsidRPr="00322289">
        <w:rPr>
          <w:rFonts w:ascii="Times New Roman" w:hAnsi="Times New Roman" w:cs="Times New Roman"/>
          <w:sz w:val="24"/>
          <w:szCs w:val="24"/>
        </w:rPr>
        <w:t>MCOs</w:t>
      </w:r>
      <w:proofErr w:type="spellEnd"/>
    </w:p>
    <w:p w14:paraId="3B9BED66" w14:textId="77777777" w:rsidR="003D74C1" w:rsidRPr="00D33989" w:rsidRDefault="003D74C1" w:rsidP="00322289">
      <w:pPr>
        <w:pStyle w:val="NoSpacing"/>
        <w:numPr>
          <w:ilvl w:val="0"/>
          <w:numId w:val="33"/>
        </w:numPr>
      </w:pPr>
      <w:r w:rsidRPr="00322289">
        <w:rPr>
          <w:rFonts w:ascii="Times New Roman" w:hAnsi="Times New Roman" w:cs="Times New Roman"/>
          <w:sz w:val="24"/>
          <w:szCs w:val="24"/>
        </w:rPr>
        <w:t>Increased Use of Community Health Workers (</w:t>
      </w:r>
      <w:proofErr w:type="spellStart"/>
      <w:r w:rsidRPr="00322289">
        <w:rPr>
          <w:rFonts w:ascii="Times New Roman" w:hAnsi="Times New Roman" w:cs="Times New Roman"/>
          <w:sz w:val="24"/>
          <w:szCs w:val="24"/>
        </w:rPr>
        <w:t>CHWs</w:t>
      </w:r>
      <w:proofErr w:type="spellEnd"/>
      <w:r w:rsidRPr="00322289">
        <w:rPr>
          <w:rFonts w:ascii="Times New Roman" w:hAnsi="Times New Roman" w:cs="Times New Roman"/>
          <w:sz w:val="24"/>
          <w:szCs w:val="24"/>
        </w:rPr>
        <w:t xml:space="preserve">)—more than 100 </w:t>
      </w:r>
      <w:proofErr w:type="spellStart"/>
      <w:r w:rsidRPr="00322289">
        <w:rPr>
          <w:rFonts w:ascii="Times New Roman" w:hAnsi="Times New Roman" w:cs="Times New Roman"/>
          <w:sz w:val="24"/>
          <w:szCs w:val="24"/>
        </w:rPr>
        <w:t>CHWs</w:t>
      </w:r>
      <w:proofErr w:type="spellEnd"/>
      <w:r w:rsidRPr="00322289">
        <w:rPr>
          <w:rFonts w:ascii="Times New Roman" w:hAnsi="Times New Roman" w:cs="Times New Roman"/>
          <w:sz w:val="24"/>
          <w:szCs w:val="24"/>
        </w:rPr>
        <w:t xml:space="preserve"> are employed or contracted by the </w:t>
      </w:r>
      <w:proofErr w:type="spellStart"/>
      <w:r w:rsidRPr="00322289">
        <w:rPr>
          <w:rFonts w:ascii="Times New Roman" w:hAnsi="Times New Roman" w:cs="Times New Roman"/>
          <w:sz w:val="24"/>
          <w:szCs w:val="24"/>
        </w:rPr>
        <w:t>MCOs</w:t>
      </w:r>
      <w:proofErr w:type="spellEnd"/>
    </w:p>
    <w:p w14:paraId="67EF2530" w14:textId="77777777" w:rsidR="005F22A1" w:rsidRDefault="003D74C1" w:rsidP="002832B8">
      <w:pPr>
        <w:pStyle w:val="Default"/>
        <w:numPr>
          <w:ilvl w:val="0"/>
          <w:numId w:val="17"/>
        </w:numPr>
        <w:jc w:val="both"/>
      </w:pPr>
      <w:r>
        <w:t>Increased number of members being served by Patient-Centered Medical Homes—increased from 200,000 members at the end of 2014 to 250,000 member at the end of 2015</w:t>
      </w:r>
    </w:p>
    <w:p w14:paraId="33664FCE" w14:textId="2172FDE2" w:rsidR="002832B8" w:rsidRDefault="003D74C1" w:rsidP="002832B8">
      <w:pPr>
        <w:pStyle w:val="Default"/>
        <w:numPr>
          <w:ilvl w:val="0"/>
          <w:numId w:val="17"/>
        </w:numPr>
        <w:jc w:val="both"/>
      </w:pPr>
      <w:r>
        <w:t xml:space="preserve">Launching of </w:t>
      </w:r>
      <w:r w:rsidR="00CB78C3">
        <w:t>H</w:t>
      </w:r>
      <w:r w:rsidR="002832B8">
        <w:t xml:space="preserve">ealth </w:t>
      </w:r>
      <w:r w:rsidR="00CB78C3">
        <w:t>H</w:t>
      </w:r>
      <w:r w:rsidR="002832B8">
        <w:t>omes</w:t>
      </w:r>
      <w:r>
        <w:t xml:space="preserve"> on</w:t>
      </w:r>
      <w:r w:rsidR="00CB78C3">
        <w:t xml:space="preserve"> April 1, 2016</w:t>
      </w:r>
      <w:r>
        <w:t xml:space="preserve"> to</w:t>
      </w:r>
      <w:r w:rsidR="00CB78C3">
        <w:t xml:space="preserve"> </w:t>
      </w:r>
      <w:r w:rsidR="00883B82">
        <w:t>provide integrated care for Medicaid recipients with chronic conditions, targeting a vulnerable populatio</w:t>
      </w:r>
      <w:r w:rsidR="000A58BA">
        <w:t xml:space="preserve">n with behavioral health needs. </w:t>
      </w:r>
      <w:r w:rsidR="00F63EBC">
        <w:t xml:space="preserve">The </w:t>
      </w:r>
      <w:r w:rsidR="00CB78C3">
        <w:t>Health Home</w:t>
      </w:r>
      <w:r w:rsidR="00F63EBC">
        <w:t xml:space="preserve"> model has been successful</w:t>
      </w:r>
      <w:r w:rsidR="00BF7219">
        <w:t>ly</w:t>
      </w:r>
      <w:r w:rsidR="00F63EBC">
        <w:t xml:space="preserve"> implemented in S</w:t>
      </w:r>
      <w:r w:rsidR="00CB78C3">
        <w:t xml:space="preserve">an Juan and Curry counties </w:t>
      </w:r>
      <w:r w:rsidR="00883B82">
        <w:t>and</w:t>
      </w:r>
      <w:r w:rsidR="00045F14">
        <w:t xml:space="preserve"> </w:t>
      </w:r>
      <w:r w:rsidR="00CB78C3">
        <w:t>serv</w:t>
      </w:r>
      <w:r w:rsidR="00F63EBC">
        <w:t>es</w:t>
      </w:r>
      <w:r w:rsidR="00CB78C3">
        <w:t xml:space="preserve"> approximately 350 members. </w:t>
      </w:r>
      <w:r w:rsidR="00DC35F4">
        <w:t xml:space="preserve">     </w:t>
      </w:r>
    </w:p>
    <w:p w14:paraId="771061A2" w14:textId="37B4FD54" w:rsidR="002832B8" w:rsidRDefault="002832B8" w:rsidP="00322289">
      <w:pPr>
        <w:pStyle w:val="Default"/>
        <w:numPr>
          <w:ilvl w:val="0"/>
          <w:numId w:val="17"/>
        </w:numPr>
        <w:jc w:val="both"/>
      </w:pPr>
      <w:r>
        <w:lastRenderedPageBreak/>
        <w:t>Implementation of Electronic Visit Verification</w:t>
      </w:r>
      <w:r w:rsidR="0074326F">
        <w:t xml:space="preserve"> (</w:t>
      </w:r>
      <w:proofErr w:type="spellStart"/>
      <w:r w:rsidR="0074326F">
        <w:t>EVV</w:t>
      </w:r>
      <w:proofErr w:type="spellEnd"/>
      <w:r w:rsidR="0074326F">
        <w:t>)</w:t>
      </w:r>
      <w:r>
        <w:t xml:space="preserve"> to </w:t>
      </w:r>
      <w:r w:rsidR="00ED61BB">
        <w:t>ensure that members are receiving authorized personal care services at the day and time approved</w:t>
      </w:r>
      <w:r>
        <w:t>.</w:t>
      </w:r>
      <w:r w:rsidR="00F57DDD" w:rsidRPr="00F57DDD">
        <w:t xml:space="preserve"> </w:t>
      </w:r>
      <w:proofErr w:type="spellStart"/>
      <w:r w:rsidR="00F57DDD">
        <w:t>EVV</w:t>
      </w:r>
      <w:proofErr w:type="spellEnd"/>
      <w:r w:rsidR="00F57DDD">
        <w:t xml:space="preserve"> was implemented statewide in November 2016.</w:t>
      </w:r>
    </w:p>
    <w:p w14:paraId="4A7E6ED9" w14:textId="74A58E86" w:rsidR="003F7574" w:rsidRPr="00BF7219" w:rsidRDefault="000A58BA" w:rsidP="00322289">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Launched </w:t>
      </w:r>
      <w:r w:rsidR="003F7574" w:rsidRPr="00B020D4">
        <w:rPr>
          <w:rFonts w:ascii="Times New Roman" w:hAnsi="Times New Roman" w:cs="Times New Roman"/>
          <w:sz w:val="24"/>
          <w:szCs w:val="24"/>
        </w:rPr>
        <w:t>Pilot Project</w:t>
      </w:r>
      <w:r w:rsidR="003F7574" w:rsidRPr="003F7574">
        <w:rPr>
          <w:rFonts w:ascii="Times New Roman" w:hAnsi="Times New Roman" w:cs="Times New Roman"/>
          <w:sz w:val="24"/>
          <w:szCs w:val="24"/>
        </w:rPr>
        <w:t xml:space="preserve"> </w:t>
      </w:r>
      <w:r>
        <w:rPr>
          <w:rFonts w:ascii="Times New Roman" w:hAnsi="Times New Roman" w:cs="Times New Roman"/>
          <w:sz w:val="24"/>
          <w:szCs w:val="24"/>
        </w:rPr>
        <w:t>to identify</w:t>
      </w:r>
      <w:r w:rsidR="003F7574" w:rsidRPr="003F7574">
        <w:rPr>
          <w:rFonts w:ascii="Times New Roman" w:hAnsi="Times New Roman" w:cs="Times New Roman"/>
          <w:sz w:val="24"/>
          <w:szCs w:val="24"/>
        </w:rPr>
        <w:t xml:space="preserve"> Super-Utilizers in September 2015 and continu</w:t>
      </w:r>
      <w:r>
        <w:rPr>
          <w:rFonts w:ascii="Times New Roman" w:hAnsi="Times New Roman" w:cs="Times New Roman"/>
          <w:sz w:val="24"/>
          <w:szCs w:val="24"/>
        </w:rPr>
        <w:t>ing</w:t>
      </w:r>
      <w:r w:rsidR="003F7574" w:rsidRPr="003F7574">
        <w:rPr>
          <w:rFonts w:ascii="Times New Roman" w:hAnsi="Times New Roman" w:cs="Times New Roman"/>
          <w:sz w:val="24"/>
          <w:szCs w:val="24"/>
        </w:rPr>
        <w:t xml:space="preserve"> </w:t>
      </w:r>
      <w:r w:rsidR="00ED61BB">
        <w:rPr>
          <w:rFonts w:ascii="Times New Roman" w:hAnsi="Times New Roman" w:cs="Times New Roman"/>
          <w:sz w:val="24"/>
          <w:szCs w:val="24"/>
        </w:rPr>
        <w:t xml:space="preserve">in 2017 </w:t>
      </w:r>
      <w:r w:rsidR="003F7574" w:rsidRPr="003F7574">
        <w:rPr>
          <w:rFonts w:ascii="Times New Roman" w:hAnsi="Times New Roman" w:cs="Times New Roman"/>
          <w:sz w:val="24"/>
          <w:szCs w:val="24"/>
        </w:rPr>
        <w:t xml:space="preserve">with review of members in each </w:t>
      </w:r>
      <w:proofErr w:type="spellStart"/>
      <w:r w:rsidR="003F7574" w:rsidRPr="003F7574">
        <w:rPr>
          <w:rFonts w:ascii="Times New Roman" w:hAnsi="Times New Roman" w:cs="Times New Roman"/>
          <w:sz w:val="24"/>
          <w:szCs w:val="24"/>
        </w:rPr>
        <w:t>MCO</w:t>
      </w:r>
      <w:proofErr w:type="spellEnd"/>
      <w:r w:rsidR="003F7574" w:rsidRPr="003F7574">
        <w:rPr>
          <w:rFonts w:ascii="Times New Roman" w:hAnsi="Times New Roman" w:cs="Times New Roman"/>
          <w:sz w:val="24"/>
          <w:szCs w:val="24"/>
        </w:rPr>
        <w:t xml:space="preserve"> with the highest Emergency Department (ED) utilization. For the initial 40 members </w:t>
      </w:r>
      <w:r w:rsidR="00ED61BB">
        <w:rPr>
          <w:rFonts w:ascii="Times New Roman" w:hAnsi="Times New Roman" w:cs="Times New Roman"/>
          <w:sz w:val="24"/>
          <w:szCs w:val="24"/>
        </w:rPr>
        <w:t xml:space="preserve">identified, </w:t>
      </w:r>
      <w:r w:rsidR="003F7574" w:rsidRPr="003F7574">
        <w:rPr>
          <w:rFonts w:ascii="Times New Roman" w:hAnsi="Times New Roman" w:cs="Times New Roman"/>
          <w:sz w:val="24"/>
          <w:szCs w:val="24"/>
        </w:rPr>
        <w:t xml:space="preserve">ED visits decreased from 118 visits to 79 over a 12 month period.  The top events for ED visits were alcohol use (45%), behavioral health (21%), and pain (17%).  In May 2016, expansion of the project included adding 25 more members per </w:t>
      </w:r>
      <w:proofErr w:type="spellStart"/>
      <w:r w:rsidR="003F7574" w:rsidRPr="003F7574">
        <w:rPr>
          <w:rFonts w:ascii="Times New Roman" w:hAnsi="Times New Roman" w:cs="Times New Roman"/>
          <w:sz w:val="24"/>
          <w:szCs w:val="24"/>
        </w:rPr>
        <w:t>MCO</w:t>
      </w:r>
      <w:proofErr w:type="spellEnd"/>
      <w:r w:rsidR="003F7574" w:rsidRPr="003F7574">
        <w:rPr>
          <w:rFonts w:ascii="Times New Roman" w:hAnsi="Times New Roman" w:cs="Times New Roman"/>
          <w:sz w:val="24"/>
          <w:szCs w:val="24"/>
        </w:rPr>
        <w:t xml:space="preserve"> for a total of 140 project members.  </w:t>
      </w:r>
      <w:proofErr w:type="spellStart"/>
      <w:r w:rsidR="003F7574" w:rsidRPr="003F7574">
        <w:rPr>
          <w:rFonts w:ascii="Times New Roman" w:hAnsi="Times New Roman" w:cs="Times New Roman"/>
          <w:sz w:val="24"/>
          <w:szCs w:val="24"/>
        </w:rPr>
        <w:t>MCOs</w:t>
      </w:r>
      <w:proofErr w:type="spellEnd"/>
      <w:r w:rsidR="003F7574" w:rsidRPr="003F7574">
        <w:rPr>
          <w:rFonts w:ascii="Times New Roman" w:hAnsi="Times New Roman" w:cs="Times New Roman"/>
          <w:sz w:val="24"/>
          <w:szCs w:val="24"/>
        </w:rPr>
        <w:t xml:space="preserve"> have been asked to implement care coordination interventions to reduce ED utilization for these members and develop effective strategies for improved management of super-utilizers.  </w:t>
      </w:r>
    </w:p>
    <w:p w14:paraId="6F6F635B" w14:textId="48A1D693" w:rsidR="003F7574" w:rsidRPr="00BF7219" w:rsidRDefault="00ED61BB" w:rsidP="00322289">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3F7574" w:rsidRPr="003F7574">
        <w:rPr>
          <w:rFonts w:ascii="Times New Roman" w:hAnsi="Times New Roman" w:cs="Times New Roman"/>
          <w:sz w:val="24"/>
          <w:szCs w:val="24"/>
        </w:rPr>
        <w:t xml:space="preserve">dditional </w:t>
      </w:r>
      <w:proofErr w:type="spellStart"/>
      <w:r w:rsidR="003F7574" w:rsidRPr="003F7574">
        <w:rPr>
          <w:rFonts w:ascii="Times New Roman" w:hAnsi="Times New Roman" w:cs="Times New Roman"/>
          <w:sz w:val="24"/>
          <w:szCs w:val="24"/>
        </w:rPr>
        <w:t>MCO</w:t>
      </w:r>
      <w:proofErr w:type="spellEnd"/>
      <w:r w:rsidR="003F7574" w:rsidRPr="003F7574">
        <w:rPr>
          <w:rFonts w:ascii="Times New Roman" w:hAnsi="Times New Roman" w:cs="Times New Roman"/>
          <w:sz w:val="24"/>
          <w:szCs w:val="24"/>
        </w:rPr>
        <w:t xml:space="preserve"> efforts to reduce non-emergent ED visits</w:t>
      </w:r>
      <w:r w:rsidR="007768A2">
        <w:rPr>
          <w:rFonts w:ascii="Times New Roman" w:hAnsi="Times New Roman" w:cs="Times New Roman"/>
          <w:sz w:val="24"/>
          <w:szCs w:val="24"/>
        </w:rPr>
        <w:t xml:space="preserve"> through the </w:t>
      </w:r>
      <w:r w:rsidR="003F7574" w:rsidRPr="003F7574">
        <w:rPr>
          <w:rFonts w:ascii="Times New Roman" w:hAnsi="Times New Roman" w:cs="Times New Roman"/>
          <w:sz w:val="24"/>
          <w:szCs w:val="24"/>
        </w:rPr>
        <w:t>form</w:t>
      </w:r>
      <w:r w:rsidR="007768A2">
        <w:rPr>
          <w:rFonts w:ascii="Times New Roman" w:hAnsi="Times New Roman" w:cs="Times New Roman"/>
          <w:sz w:val="24"/>
          <w:szCs w:val="24"/>
        </w:rPr>
        <w:t>ation of</w:t>
      </w:r>
      <w:r w:rsidR="003F7574" w:rsidRPr="003F7574">
        <w:rPr>
          <w:rFonts w:ascii="Times New Roman" w:hAnsi="Times New Roman" w:cs="Times New Roman"/>
          <w:sz w:val="24"/>
          <w:szCs w:val="24"/>
        </w:rPr>
        <w:t xml:space="preserve"> a workgroup developing initiatives that include improved communication between care coordinators and community providers such as Emergency Medical Services (EMS) personnel, physicians/PCPs, and hospitals.  </w:t>
      </w:r>
      <w:proofErr w:type="spellStart"/>
      <w:r w:rsidR="003F7574" w:rsidRPr="003F7574">
        <w:rPr>
          <w:rFonts w:ascii="Times New Roman" w:hAnsi="Times New Roman" w:cs="Times New Roman"/>
          <w:sz w:val="24"/>
          <w:szCs w:val="24"/>
        </w:rPr>
        <w:t>MCOs</w:t>
      </w:r>
      <w:proofErr w:type="spellEnd"/>
      <w:r w:rsidR="003F7574" w:rsidRPr="003F7574">
        <w:rPr>
          <w:rFonts w:ascii="Times New Roman" w:hAnsi="Times New Roman" w:cs="Times New Roman"/>
          <w:sz w:val="24"/>
          <w:szCs w:val="24"/>
        </w:rPr>
        <w:t xml:space="preserve"> are purchasing Emergency Department Information Exchange (EDIE) software and negotiating contracts with NM hospitals for instant notification when a member is in the ED </w:t>
      </w:r>
      <w:r w:rsidR="000A58BA">
        <w:rPr>
          <w:rFonts w:ascii="Times New Roman" w:hAnsi="Times New Roman" w:cs="Times New Roman"/>
          <w:sz w:val="24"/>
          <w:szCs w:val="24"/>
        </w:rPr>
        <w:t>to allow</w:t>
      </w:r>
      <w:r w:rsidR="00D74B13">
        <w:rPr>
          <w:rFonts w:ascii="Times New Roman" w:hAnsi="Times New Roman" w:cs="Times New Roman"/>
          <w:sz w:val="24"/>
          <w:szCs w:val="24"/>
        </w:rPr>
        <w:t xml:space="preserve"> </w:t>
      </w:r>
      <w:r w:rsidR="003F7574" w:rsidRPr="003F7574">
        <w:rPr>
          <w:rFonts w:ascii="Times New Roman" w:hAnsi="Times New Roman" w:cs="Times New Roman"/>
          <w:sz w:val="24"/>
          <w:szCs w:val="24"/>
        </w:rPr>
        <w:t xml:space="preserve">for earlier and more efficient care coordinator involvement.  </w:t>
      </w:r>
      <w:r w:rsidR="000A58BA">
        <w:rPr>
          <w:rFonts w:ascii="Times New Roman" w:hAnsi="Times New Roman" w:cs="Times New Roman"/>
          <w:sz w:val="24"/>
          <w:szCs w:val="24"/>
        </w:rPr>
        <w:t xml:space="preserve"> </w:t>
      </w:r>
    </w:p>
    <w:p w14:paraId="1F4382D0" w14:textId="14736240" w:rsidR="00083328" w:rsidRPr="00322289" w:rsidRDefault="00ED61BB" w:rsidP="00BF7219">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Molina Healthcare of New Mexico</w:t>
      </w:r>
      <w:r w:rsidR="00767282">
        <w:rPr>
          <w:rFonts w:ascii="Times New Roman" w:hAnsi="Times New Roman" w:cs="Times New Roman"/>
          <w:sz w:val="24"/>
          <w:szCs w:val="24"/>
        </w:rPr>
        <w:t xml:space="preserve"> pilot project for the implementation of care coordination for </w:t>
      </w:r>
      <w:r>
        <w:rPr>
          <w:rFonts w:ascii="Times New Roman" w:hAnsi="Times New Roman" w:cs="Times New Roman"/>
          <w:sz w:val="24"/>
          <w:szCs w:val="24"/>
        </w:rPr>
        <w:t xml:space="preserve">justice-involved </w:t>
      </w:r>
      <w:r w:rsidR="00767282">
        <w:rPr>
          <w:rFonts w:ascii="Times New Roman" w:hAnsi="Times New Roman" w:cs="Times New Roman"/>
          <w:sz w:val="24"/>
          <w:szCs w:val="24"/>
        </w:rPr>
        <w:t>members in Bernalillo County Detention Center.</w:t>
      </w:r>
      <w:r w:rsidR="003F7574" w:rsidRPr="003F7574">
        <w:rPr>
          <w:rFonts w:ascii="Times New Roman" w:hAnsi="Times New Roman" w:cs="Times New Roman"/>
          <w:sz w:val="24"/>
          <w:szCs w:val="24"/>
        </w:rPr>
        <w:t xml:space="preserve"> As of October 28, 2016 approximately 128 r</w:t>
      </w:r>
      <w:r w:rsidR="000A58BA">
        <w:rPr>
          <w:rFonts w:ascii="Times New Roman" w:hAnsi="Times New Roman" w:cs="Times New Roman"/>
          <w:sz w:val="24"/>
          <w:szCs w:val="24"/>
        </w:rPr>
        <w:t xml:space="preserve">eferrals to date have been made.  </w:t>
      </w:r>
      <w:r w:rsidR="003F7574" w:rsidRPr="003F7574">
        <w:rPr>
          <w:rFonts w:ascii="Times New Roman" w:hAnsi="Times New Roman" w:cs="Times New Roman"/>
          <w:sz w:val="24"/>
          <w:szCs w:val="24"/>
        </w:rPr>
        <w:t xml:space="preserve">The goal is to expand the project to all the </w:t>
      </w:r>
      <w:proofErr w:type="spellStart"/>
      <w:r w:rsidR="003F7574" w:rsidRPr="003F7574">
        <w:rPr>
          <w:rFonts w:ascii="Times New Roman" w:hAnsi="Times New Roman" w:cs="Times New Roman"/>
          <w:sz w:val="24"/>
          <w:szCs w:val="24"/>
        </w:rPr>
        <w:t>MCOs</w:t>
      </w:r>
      <w:proofErr w:type="spellEnd"/>
      <w:r w:rsidR="003F7574" w:rsidRPr="003F7574">
        <w:rPr>
          <w:rFonts w:ascii="Times New Roman" w:hAnsi="Times New Roman" w:cs="Times New Roman"/>
          <w:sz w:val="24"/>
          <w:szCs w:val="24"/>
        </w:rPr>
        <w:t xml:space="preserve"> and to implement in other detention centers statewide in 2017. </w:t>
      </w:r>
    </w:p>
    <w:p w14:paraId="7BFE16A3" w14:textId="77777777" w:rsidR="005F22A1" w:rsidRPr="006A3998" w:rsidRDefault="005F22A1" w:rsidP="005F22A1">
      <w:pPr>
        <w:pStyle w:val="NoSpacing"/>
        <w:numPr>
          <w:ilvl w:val="0"/>
          <w:numId w:val="17"/>
        </w:numPr>
        <w:rPr>
          <w:rFonts w:ascii="Times New Roman" w:hAnsi="Times New Roman" w:cs="Times New Roman"/>
          <w:sz w:val="24"/>
          <w:szCs w:val="24"/>
        </w:rPr>
      </w:pPr>
      <w:proofErr w:type="spellStart"/>
      <w:r w:rsidRPr="006A3998">
        <w:rPr>
          <w:rFonts w:ascii="Times New Roman" w:hAnsi="Times New Roman" w:cs="Times New Roman"/>
          <w:sz w:val="24"/>
          <w:szCs w:val="24"/>
        </w:rPr>
        <w:t>MCO</w:t>
      </w:r>
      <w:proofErr w:type="spellEnd"/>
      <w:r w:rsidRPr="006A3998">
        <w:rPr>
          <w:rFonts w:ascii="Times New Roman" w:hAnsi="Times New Roman" w:cs="Times New Roman"/>
          <w:sz w:val="24"/>
          <w:szCs w:val="24"/>
        </w:rPr>
        <w:t xml:space="preserve"> performance on </w:t>
      </w:r>
      <w:proofErr w:type="spellStart"/>
      <w:r w:rsidRPr="006A3998">
        <w:rPr>
          <w:rFonts w:ascii="Times New Roman" w:hAnsi="Times New Roman" w:cs="Times New Roman"/>
          <w:sz w:val="24"/>
          <w:szCs w:val="24"/>
        </w:rPr>
        <w:t>HEDIS</w:t>
      </w:r>
      <w:proofErr w:type="spellEnd"/>
      <w:r w:rsidRPr="006A3998">
        <w:rPr>
          <w:rFonts w:ascii="Times New Roman" w:hAnsi="Times New Roman" w:cs="Times New Roman"/>
          <w:sz w:val="24"/>
          <w:szCs w:val="24"/>
        </w:rPr>
        <w:t xml:space="preserve"> measures exceeded 2015 national benchmarks for:</w:t>
      </w:r>
    </w:p>
    <w:p w14:paraId="5DB76A71" w14:textId="77777777" w:rsidR="005F22A1" w:rsidRPr="006A3998" w:rsidRDefault="005F22A1" w:rsidP="00322289">
      <w:pPr>
        <w:pStyle w:val="NoSpacing"/>
        <w:numPr>
          <w:ilvl w:val="1"/>
          <w:numId w:val="17"/>
        </w:numPr>
        <w:rPr>
          <w:rFonts w:ascii="Times New Roman" w:hAnsi="Times New Roman" w:cs="Times New Roman"/>
          <w:sz w:val="24"/>
          <w:szCs w:val="24"/>
        </w:rPr>
      </w:pPr>
      <w:r w:rsidRPr="006A3998">
        <w:rPr>
          <w:rFonts w:ascii="Times New Roman" w:hAnsi="Times New Roman" w:cs="Times New Roman"/>
          <w:sz w:val="24"/>
          <w:szCs w:val="24"/>
        </w:rPr>
        <w:t>Annual dental visits</w:t>
      </w:r>
    </w:p>
    <w:p w14:paraId="607B5B5F" w14:textId="77777777" w:rsidR="005F22A1" w:rsidRDefault="005F22A1" w:rsidP="00322289">
      <w:pPr>
        <w:pStyle w:val="NoSpacing"/>
        <w:numPr>
          <w:ilvl w:val="0"/>
          <w:numId w:val="37"/>
        </w:numPr>
        <w:rPr>
          <w:rFonts w:ascii="Times New Roman" w:hAnsi="Times New Roman" w:cs="Times New Roman"/>
          <w:sz w:val="24"/>
          <w:szCs w:val="24"/>
        </w:rPr>
      </w:pPr>
      <w:r w:rsidRPr="006A3998">
        <w:rPr>
          <w:rFonts w:ascii="Times New Roman" w:hAnsi="Times New Roman" w:cs="Times New Roman"/>
          <w:sz w:val="24"/>
          <w:szCs w:val="24"/>
        </w:rPr>
        <w:t>Behavioral health members with a follow up visit after an inpatient stay</w:t>
      </w:r>
    </w:p>
    <w:p w14:paraId="776D420C" w14:textId="77777777" w:rsidR="005F22A1" w:rsidRPr="005F22A1" w:rsidRDefault="005F22A1" w:rsidP="00322289">
      <w:pPr>
        <w:pStyle w:val="NoSpacing"/>
        <w:numPr>
          <w:ilvl w:val="0"/>
          <w:numId w:val="37"/>
        </w:numPr>
        <w:rPr>
          <w:rFonts w:ascii="Times New Roman" w:hAnsi="Times New Roman" w:cs="Times New Roman"/>
          <w:sz w:val="24"/>
          <w:szCs w:val="24"/>
        </w:rPr>
      </w:pPr>
      <w:r w:rsidRPr="005F22A1">
        <w:rPr>
          <w:rFonts w:ascii="Times New Roman" w:hAnsi="Times New Roman" w:cs="Times New Roman"/>
          <w:sz w:val="24"/>
          <w:szCs w:val="24"/>
        </w:rPr>
        <w:t>Child immunization status</w:t>
      </w:r>
    </w:p>
    <w:p w14:paraId="358BADD6" w14:textId="77777777" w:rsidR="005F22A1" w:rsidRDefault="005F22A1" w:rsidP="00322289">
      <w:pPr>
        <w:pStyle w:val="NoSpacing"/>
        <w:numPr>
          <w:ilvl w:val="0"/>
          <w:numId w:val="37"/>
        </w:numPr>
      </w:pPr>
      <w:r w:rsidRPr="006A3998">
        <w:rPr>
          <w:rFonts w:ascii="Times New Roman" w:hAnsi="Times New Roman" w:cs="Times New Roman"/>
          <w:sz w:val="24"/>
          <w:szCs w:val="24"/>
        </w:rPr>
        <w:t>Well-child visits in first 15 months of lif</w:t>
      </w:r>
      <w:r>
        <w:rPr>
          <w:rFonts w:ascii="Times New Roman" w:hAnsi="Times New Roman" w:cs="Times New Roman"/>
          <w:sz w:val="24"/>
          <w:szCs w:val="24"/>
        </w:rPr>
        <w:t>e</w:t>
      </w:r>
    </w:p>
    <w:p w14:paraId="4A98BEBD" w14:textId="77777777" w:rsidR="002832B8" w:rsidRDefault="005F22A1" w:rsidP="00322289">
      <w:pPr>
        <w:pStyle w:val="NoSpacing"/>
        <w:numPr>
          <w:ilvl w:val="0"/>
          <w:numId w:val="37"/>
        </w:numPr>
      </w:pPr>
      <w:r w:rsidRPr="005F22A1">
        <w:rPr>
          <w:rFonts w:ascii="Times New Roman" w:hAnsi="Times New Roman" w:cs="Times New Roman"/>
          <w:sz w:val="24"/>
          <w:szCs w:val="24"/>
        </w:rPr>
        <w:t>Alcohol and other drug dependency treatment</w:t>
      </w:r>
    </w:p>
    <w:p w14:paraId="60DA23E3" w14:textId="77777777" w:rsidR="005F22A1" w:rsidRDefault="005F22A1" w:rsidP="002832B8">
      <w:pPr>
        <w:pStyle w:val="Default"/>
        <w:jc w:val="both"/>
        <w:rPr>
          <w:b/>
          <w:u w:val="single"/>
        </w:rPr>
      </w:pPr>
    </w:p>
    <w:p w14:paraId="2B9FA364" w14:textId="77777777" w:rsidR="002832B8" w:rsidRDefault="002832B8" w:rsidP="002832B8">
      <w:pPr>
        <w:pStyle w:val="Default"/>
        <w:jc w:val="both"/>
      </w:pPr>
      <w:r>
        <w:rPr>
          <w:b/>
          <w:u w:val="single"/>
        </w:rPr>
        <w:t>Centennial Care Improvements</w:t>
      </w:r>
    </w:p>
    <w:p w14:paraId="4E43208F" w14:textId="77777777" w:rsidR="002832B8" w:rsidRDefault="00FE7974" w:rsidP="00835350">
      <w:pPr>
        <w:pStyle w:val="Default"/>
        <w:numPr>
          <w:ilvl w:val="0"/>
          <w:numId w:val="18"/>
        </w:numPr>
        <w:jc w:val="both"/>
      </w:pPr>
      <w:r>
        <w:t>Continued efforts to</w:t>
      </w:r>
      <w:r w:rsidRPr="00FE7974">
        <w:t xml:space="preserve"> </w:t>
      </w:r>
      <w:r>
        <w:t>improve access to specialt</w:t>
      </w:r>
      <w:r w:rsidR="00343625">
        <w:t>y providers</w:t>
      </w:r>
      <w:r w:rsidR="00614475">
        <w:t xml:space="preserve"> includes</w:t>
      </w:r>
      <w:r w:rsidR="00B3495C">
        <w:t>,</w:t>
      </w:r>
      <w:r w:rsidR="00614475">
        <w:t xml:space="preserve"> i</w:t>
      </w:r>
      <w:r w:rsidR="001D5143">
        <w:t xml:space="preserve">ncreased access to both physical and behavioral health care through an expanded utilization of </w:t>
      </w:r>
      <w:r w:rsidR="00CC25AF">
        <w:t>t</w:t>
      </w:r>
      <w:r w:rsidR="002832B8">
        <w:t xml:space="preserve">elemedicine </w:t>
      </w:r>
      <w:r w:rsidR="001D5143">
        <w:t xml:space="preserve">in </w:t>
      </w:r>
      <w:r w:rsidR="002832B8">
        <w:t xml:space="preserve">rural and frontier </w:t>
      </w:r>
      <w:r w:rsidR="001D5143">
        <w:t>settings</w:t>
      </w:r>
      <w:r w:rsidR="002832B8">
        <w:t>.</w:t>
      </w:r>
    </w:p>
    <w:p w14:paraId="0044FC3F" w14:textId="77777777" w:rsidR="002832B8" w:rsidRPr="00EA0160" w:rsidRDefault="00614475" w:rsidP="002832B8">
      <w:pPr>
        <w:pStyle w:val="Default"/>
        <w:numPr>
          <w:ilvl w:val="0"/>
          <w:numId w:val="18"/>
        </w:numPr>
        <w:jc w:val="both"/>
      </w:pPr>
      <w:r w:rsidRPr="00322289">
        <w:t xml:space="preserve">Continued expansion </w:t>
      </w:r>
      <w:r w:rsidR="001D5143" w:rsidRPr="00322289">
        <w:t>of Hepatitis C</w:t>
      </w:r>
      <w:r w:rsidRPr="00322289">
        <w:t xml:space="preserve"> treatment</w:t>
      </w:r>
      <w:r w:rsidR="001D5143" w:rsidRPr="00322289">
        <w:t xml:space="preserve"> to the five stages for which there is medical evidence indicating the benefit of treatment (</w:t>
      </w:r>
      <w:proofErr w:type="spellStart"/>
      <w:r w:rsidR="001D5143" w:rsidRPr="00322289">
        <w:t>F2</w:t>
      </w:r>
      <w:proofErr w:type="spellEnd"/>
      <w:r w:rsidR="001D5143" w:rsidRPr="00322289">
        <w:t xml:space="preserve">, </w:t>
      </w:r>
      <w:proofErr w:type="spellStart"/>
      <w:r w:rsidR="001D5143" w:rsidRPr="00322289">
        <w:t>F3</w:t>
      </w:r>
      <w:proofErr w:type="spellEnd"/>
      <w:r w:rsidR="001D5143" w:rsidRPr="00322289">
        <w:t xml:space="preserve">, </w:t>
      </w:r>
      <w:proofErr w:type="spellStart"/>
      <w:r w:rsidR="001D5143" w:rsidRPr="00322289">
        <w:t>F4</w:t>
      </w:r>
      <w:proofErr w:type="spellEnd"/>
      <w:r w:rsidR="001D5143" w:rsidRPr="00322289">
        <w:t xml:space="preserve">, decompensated cirrhosis, hepatocellular carcinoma). </w:t>
      </w:r>
      <w:r w:rsidR="000277A1" w:rsidRPr="00EA0160">
        <w:t xml:space="preserve"> </w:t>
      </w:r>
    </w:p>
    <w:p w14:paraId="718DBEBF" w14:textId="4C1DC262" w:rsidR="009B5D90" w:rsidRPr="00EA0160" w:rsidRDefault="00614475" w:rsidP="00B3495C">
      <w:pPr>
        <w:pStyle w:val="ListParagraph"/>
        <w:numPr>
          <w:ilvl w:val="0"/>
          <w:numId w:val="18"/>
        </w:numPr>
        <w:spacing w:after="0" w:line="240" w:lineRule="auto"/>
        <w:rPr>
          <w:rFonts w:ascii="Times New Roman" w:hAnsi="Times New Roman" w:cs="Times New Roman"/>
          <w:b/>
          <w:sz w:val="23"/>
          <w:szCs w:val="23"/>
        </w:rPr>
      </w:pPr>
      <w:r w:rsidRPr="00322289">
        <w:rPr>
          <w:rFonts w:ascii="Times New Roman" w:hAnsi="Times New Roman" w:cs="Times New Roman"/>
          <w:sz w:val="24"/>
          <w:szCs w:val="24"/>
        </w:rPr>
        <w:t xml:space="preserve">The </w:t>
      </w:r>
      <w:r w:rsidR="000A58BA">
        <w:rPr>
          <w:rFonts w:ascii="Times New Roman" w:hAnsi="Times New Roman" w:cs="Times New Roman"/>
          <w:sz w:val="24"/>
          <w:szCs w:val="24"/>
        </w:rPr>
        <w:t xml:space="preserve">percent of Unreachable Members </w:t>
      </w:r>
      <w:r w:rsidRPr="00322289">
        <w:rPr>
          <w:rFonts w:ascii="Times New Roman" w:hAnsi="Times New Roman" w:cs="Times New Roman"/>
          <w:sz w:val="24"/>
          <w:szCs w:val="24"/>
        </w:rPr>
        <w:t>decreased to 11.6%</w:t>
      </w:r>
      <w:bookmarkStart w:id="0" w:name="_GoBack"/>
      <w:bookmarkEnd w:id="0"/>
      <w:r w:rsidRPr="00322289">
        <w:rPr>
          <w:rFonts w:ascii="Times New Roman" w:hAnsi="Times New Roman" w:cs="Times New Roman"/>
          <w:sz w:val="24"/>
          <w:szCs w:val="24"/>
        </w:rPr>
        <w:t xml:space="preserve"> with </w:t>
      </w:r>
      <w:r w:rsidR="009B5D90" w:rsidRPr="00322289">
        <w:rPr>
          <w:rFonts w:ascii="Times New Roman" w:hAnsi="Times New Roman" w:cs="Times New Roman"/>
          <w:sz w:val="24"/>
          <w:szCs w:val="24"/>
        </w:rPr>
        <w:t xml:space="preserve">248,513 “unreachable” members successfully reached by the </w:t>
      </w:r>
      <w:proofErr w:type="spellStart"/>
      <w:r w:rsidR="009B5D90" w:rsidRPr="00322289">
        <w:rPr>
          <w:rFonts w:ascii="Times New Roman" w:hAnsi="Times New Roman" w:cs="Times New Roman"/>
          <w:sz w:val="24"/>
          <w:szCs w:val="24"/>
        </w:rPr>
        <w:t>MCOs</w:t>
      </w:r>
      <w:proofErr w:type="spellEnd"/>
      <w:r w:rsidR="009B5D90" w:rsidRPr="00322289">
        <w:rPr>
          <w:rFonts w:ascii="Times New Roman" w:hAnsi="Times New Roman" w:cs="Times New Roman"/>
          <w:sz w:val="24"/>
          <w:szCs w:val="24"/>
        </w:rPr>
        <w:t xml:space="preserve"> during the Unreachable Member Campaign (September 2014 – June 2016).</w:t>
      </w:r>
    </w:p>
    <w:p w14:paraId="65DB98A0" w14:textId="77777777" w:rsidR="00EA3156" w:rsidRDefault="00EA3156" w:rsidP="002832B8">
      <w:pPr>
        <w:pStyle w:val="Default"/>
        <w:jc w:val="both"/>
      </w:pPr>
    </w:p>
    <w:p w14:paraId="347B284A" w14:textId="77777777" w:rsidR="00AF7E44" w:rsidRDefault="00555908" w:rsidP="00EA3156">
      <w:pPr>
        <w:pStyle w:val="Default"/>
        <w:jc w:val="both"/>
      </w:pPr>
      <w:r w:rsidRPr="0053346C">
        <w:rPr>
          <w:b/>
          <w:u w:val="single"/>
        </w:rPr>
        <w:lastRenderedPageBreak/>
        <w:t>Supporting Provider Capacity</w:t>
      </w:r>
    </w:p>
    <w:p w14:paraId="7687A77A" w14:textId="29EDA9BA" w:rsidR="00D74B13" w:rsidRDefault="00AF7E44" w:rsidP="00277B8A">
      <w:pPr>
        <w:pStyle w:val="Default"/>
        <w:numPr>
          <w:ilvl w:val="0"/>
          <w:numId w:val="19"/>
        </w:numPr>
        <w:jc w:val="both"/>
      </w:pPr>
      <w:r w:rsidRPr="00EA0160">
        <w:t>Maximizing Scopes of Practice for Certain Providers</w:t>
      </w:r>
      <w:r w:rsidR="00277B8A">
        <w:t>.  In order to increase the use of non-independently licensed master</w:t>
      </w:r>
      <w:r w:rsidR="000A58BA">
        <w:t>’</w:t>
      </w:r>
      <w:r w:rsidR="00277B8A">
        <w:t xml:space="preserve">s level behavioral health practitioners HSD has instituted a supervisory certificate for which providers attest to practice board and HSD approved supervisory protocols.  In this way agencies providing services to Medicaid beneficiaries can expand their access to care through utilization of an expanded number of practitioners.  We have also authorized the use of independently licensed psychiatric certified nurse practitioners,  </w:t>
      </w:r>
      <w:r w:rsidR="00D74B13">
        <w:t>c</w:t>
      </w:r>
      <w:r w:rsidR="00277B8A">
        <w:t>ertified nurse clinicians, and prescribing psychologists where previously only psychiatrists could render services for some of our specialty psychiatric services.</w:t>
      </w:r>
      <w:r w:rsidR="00725EAF" w:rsidRPr="00322289">
        <w:t xml:space="preserve">in </w:t>
      </w:r>
    </w:p>
    <w:p w14:paraId="4D30DC25" w14:textId="154E1DAD" w:rsidR="00E825A6" w:rsidRPr="00EA0160" w:rsidRDefault="00D74B13" w:rsidP="00277B8A">
      <w:pPr>
        <w:pStyle w:val="Default"/>
        <w:numPr>
          <w:ilvl w:val="0"/>
          <w:numId w:val="19"/>
        </w:numPr>
        <w:jc w:val="both"/>
      </w:pPr>
      <w:r>
        <w:t>T</w:t>
      </w:r>
      <w:r w:rsidR="004D2603" w:rsidRPr="00322289">
        <w:t xml:space="preserve">he acquisition of audio-visual equipment for several provider practice sites to enable the provision of telemedicine services to members. </w:t>
      </w:r>
    </w:p>
    <w:p w14:paraId="667A55C6" w14:textId="77777777" w:rsidR="00AF7E44" w:rsidRPr="00EA0160" w:rsidRDefault="00AF7E44" w:rsidP="00725EAF">
      <w:pPr>
        <w:pStyle w:val="Default"/>
        <w:numPr>
          <w:ilvl w:val="0"/>
          <w:numId w:val="19"/>
        </w:numPr>
        <w:jc w:val="both"/>
      </w:pPr>
      <w:r w:rsidRPr="00EA0160">
        <w:t>Increasing the use of Community Health Workers</w:t>
      </w:r>
      <w:r w:rsidR="00207F12" w:rsidRPr="00EA0160">
        <w:t xml:space="preserve"> (</w:t>
      </w:r>
      <w:proofErr w:type="spellStart"/>
      <w:r w:rsidR="00207F12" w:rsidRPr="00EA0160">
        <w:t>CHWs</w:t>
      </w:r>
      <w:proofErr w:type="spellEnd"/>
      <w:r w:rsidR="00207F12" w:rsidRPr="00EA0160">
        <w:t xml:space="preserve">) </w:t>
      </w:r>
    </w:p>
    <w:p w14:paraId="7E398111" w14:textId="77777777" w:rsidR="00AF7E44" w:rsidRPr="00EA0160" w:rsidRDefault="00AF7E44" w:rsidP="00AF7E44">
      <w:pPr>
        <w:pStyle w:val="Default"/>
        <w:numPr>
          <w:ilvl w:val="1"/>
          <w:numId w:val="19"/>
        </w:numPr>
        <w:jc w:val="both"/>
      </w:pPr>
      <w:proofErr w:type="spellStart"/>
      <w:r w:rsidRPr="00EA0160">
        <w:t>CHWs</w:t>
      </w:r>
      <w:proofErr w:type="spellEnd"/>
      <w:r w:rsidRPr="00EA0160">
        <w:t xml:space="preserve"> work with high ED utilizers to redirect them to PCPs, educate about healthy behaviors, disease management, and community resources;</w:t>
      </w:r>
    </w:p>
    <w:p w14:paraId="7F1957D7" w14:textId="77777777" w:rsidR="00EA0160" w:rsidRPr="00EA0160" w:rsidRDefault="00AF7E44" w:rsidP="00AF7E44">
      <w:pPr>
        <w:pStyle w:val="Default"/>
        <w:numPr>
          <w:ilvl w:val="1"/>
          <w:numId w:val="19"/>
        </w:numPr>
        <w:jc w:val="both"/>
      </w:pPr>
      <w:proofErr w:type="spellStart"/>
      <w:r w:rsidRPr="00EA0160">
        <w:t>MCOs</w:t>
      </w:r>
      <w:proofErr w:type="spellEnd"/>
      <w:r w:rsidRPr="00EA0160">
        <w:t xml:space="preserve"> partnering with </w:t>
      </w:r>
      <w:proofErr w:type="spellStart"/>
      <w:r w:rsidRPr="00EA0160">
        <w:t>UNM</w:t>
      </w:r>
      <w:proofErr w:type="spellEnd"/>
      <w:r w:rsidRPr="00EA0160">
        <w:t xml:space="preserve"> to expand role of </w:t>
      </w:r>
      <w:proofErr w:type="spellStart"/>
      <w:r w:rsidRPr="00EA0160">
        <w:t>CHWs</w:t>
      </w:r>
      <w:proofErr w:type="spellEnd"/>
      <w:r w:rsidRPr="00EA0160">
        <w:t xml:space="preserve"> – care coordination, health education, health literacy, translation, and community supports linkages;</w:t>
      </w:r>
    </w:p>
    <w:p w14:paraId="0A4BDE40" w14:textId="77777777" w:rsidR="00A434D8" w:rsidRPr="00EA0160" w:rsidRDefault="00E825A6" w:rsidP="00322289">
      <w:pPr>
        <w:pStyle w:val="Default"/>
        <w:numPr>
          <w:ilvl w:val="1"/>
          <w:numId w:val="19"/>
        </w:numPr>
        <w:jc w:val="both"/>
      </w:pPr>
      <w:r w:rsidRPr="00EA0160">
        <w:t xml:space="preserve">2017 </w:t>
      </w:r>
      <w:r w:rsidR="00AF7E44" w:rsidRPr="00EA0160">
        <w:t xml:space="preserve">Delivery System Improvement Target requires </w:t>
      </w:r>
      <w:proofErr w:type="spellStart"/>
      <w:r w:rsidR="00AF7E44" w:rsidRPr="00EA0160">
        <w:t>MCOs</w:t>
      </w:r>
      <w:proofErr w:type="spellEnd"/>
      <w:r w:rsidR="00AF7E44" w:rsidRPr="00EA0160">
        <w:t xml:space="preserve"> to increase utilization of </w:t>
      </w:r>
      <w:proofErr w:type="spellStart"/>
      <w:r w:rsidR="00AF7E44" w:rsidRPr="00EA0160">
        <w:t>CHWs</w:t>
      </w:r>
      <w:proofErr w:type="spellEnd"/>
      <w:r w:rsidRPr="00EA0160">
        <w:t xml:space="preserve"> by a minimum of 10% over the 2016 baseline</w:t>
      </w:r>
      <w:r w:rsidR="00AF7E44" w:rsidRPr="00EA0160">
        <w:t>.</w:t>
      </w:r>
    </w:p>
    <w:p w14:paraId="1B99FC91" w14:textId="77777777" w:rsidR="00A434D8" w:rsidRPr="00EA0160" w:rsidRDefault="000B4985" w:rsidP="00A434D8">
      <w:pPr>
        <w:pStyle w:val="Default"/>
        <w:numPr>
          <w:ilvl w:val="0"/>
          <w:numId w:val="27"/>
        </w:numPr>
        <w:ind w:left="720"/>
        <w:jc w:val="both"/>
      </w:pPr>
      <w:r w:rsidRPr="00EA0160">
        <w:t>Unbundled</w:t>
      </w:r>
      <w:r w:rsidR="00F63EBC" w:rsidRPr="00EA0160">
        <w:t xml:space="preserve"> </w:t>
      </w:r>
      <w:r w:rsidR="001D5143" w:rsidRPr="00EA0160">
        <w:t>reimbursement</w:t>
      </w:r>
      <w:r w:rsidR="00F63EBC" w:rsidRPr="00EA0160">
        <w:t xml:space="preserve"> for Long-Acting Reversible Contraceptive (</w:t>
      </w:r>
      <w:proofErr w:type="spellStart"/>
      <w:r w:rsidR="00F63EBC" w:rsidRPr="00EA0160">
        <w:t>LARC</w:t>
      </w:r>
      <w:proofErr w:type="spellEnd"/>
      <w:r w:rsidR="00F63EBC" w:rsidRPr="00EA0160">
        <w:t>) provided through Federally Qualified Health Centers (</w:t>
      </w:r>
      <w:proofErr w:type="spellStart"/>
      <w:r w:rsidR="001D5143" w:rsidRPr="00EA0160">
        <w:t>FQHCs</w:t>
      </w:r>
      <w:proofErr w:type="spellEnd"/>
      <w:r w:rsidR="00F63EBC" w:rsidRPr="00EA0160">
        <w:t>)</w:t>
      </w:r>
      <w:r w:rsidR="001D5143" w:rsidRPr="00EA0160">
        <w:t xml:space="preserve"> </w:t>
      </w:r>
    </w:p>
    <w:p w14:paraId="7D7B0CCE" w14:textId="77777777" w:rsidR="00555908" w:rsidRDefault="00555908" w:rsidP="00EA3156">
      <w:pPr>
        <w:pStyle w:val="Default"/>
        <w:jc w:val="both"/>
      </w:pPr>
    </w:p>
    <w:p w14:paraId="74A73BA3" w14:textId="77777777" w:rsidR="00C90158" w:rsidRDefault="00C90158" w:rsidP="00D21E54">
      <w:pPr>
        <w:pStyle w:val="Default"/>
        <w:jc w:val="both"/>
      </w:pPr>
      <w:r w:rsidRPr="0053346C">
        <w:rPr>
          <w:b/>
          <w:u w:val="single"/>
        </w:rPr>
        <w:t>Measures of Success</w:t>
      </w:r>
    </w:p>
    <w:p w14:paraId="4EA7BF58" w14:textId="77777777" w:rsidR="008C68E0" w:rsidRDefault="008C68E0" w:rsidP="00AC3CDC">
      <w:pPr>
        <w:pStyle w:val="Default"/>
        <w:numPr>
          <w:ilvl w:val="0"/>
          <w:numId w:val="21"/>
        </w:numPr>
        <w:jc w:val="both"/>
      </w:pPr>
      <w:proofErr w:type="spellStart"/>
      <w:r>
        <w:t>MCOs</w:t>
      </w:r>
      <w:proofErr w:type="spellEnd"/>
      <w:r>
        <w:t xml:space="preserve"> reported member satisfaction through the 2015 Consumer Assessment of Healthcare Providers and Systems (</w:t>
      </w:r>
      <w:proofErr w:type="spellStart"/>
      <w:r>
        <w:t>CAHPS</w:t>
      </w:r>
      <w:proofErr w:type="spellEnd"/>
      <w:r>
        <w:t>).  The target populations included; adults, children and children with chronic conditions, who were enrolled in Centennial Care in 2014.  Results of the survey were compared to the 2014 National benchmark as stated in the National Committee for Quality Assurance (</w:t>
      </w:r>
      <w:proofErr w:type="spellStart"/>
      <w:r>
        <w:t>NCQA</w:t>
      </w:r>
      <w:proofErr w:type="spellEnd"/>
      <w:r>
        <w:t>) Quality Compass.</w:t>
      </w:r>
      <w:r w:rsidR="00A9340F">
        <w:t xml:space="preserve"> </w:t>
      </w:r>
    </w:p>
    <w:p w14:paraId="146478CD" w14:textId="77777777" w:rsidR="008C68E0" w:rsidRDefault="008C68E0" w:rsidP="00C43356">
      <w:pPr>
        <w:pStyle w:val="Default"/>
        <w:numPr>
          <w:ilvl w:val="1"/>
          <w:numId w:val="21"/>
        </w:numPr>
        <w:jc w:val="both"/>
      </w:pPr>
      <w:r>
        <w:t xml:space="preserve">Rating of Healthcare for the adult population reports an average </w:t>
      </w:r>
      <w:r w:rsidR="00EA0160">
        <w:t xml:space="preserve">satisfaction </w:t>
      </w:r>
      <w:r w:rsidR="00E13D48">
        <w:t>rate</w:t>
      </w:r>
      <w:r>
        <w:t xml:space="preserve"> among the four </w:t>
      </w:r>
      <w:proofErr w:type="spellStart"/>
      <w:r>
        <w:t>MCOs</w:t>
      </w:r>
      <w:proofErr w:type="spellEnd"/>
      <w:r>
        <w:t xml:space="preserve"> of 85.1% which is above the national benchmark of 84.7%.  </w:t>
      </w:r>
    </w:p>
    <w:p w14:paraId="6D7AFE2D" w14:textId="77777777" w:rsidR="008C68E0" w:rsidRDefault="008C68E0" w:rsidP="00C43356">
      <w:pPr>
        <w:pStyle w:val="Default"/>
        <w:numPr>
          <w:ilvl w:val="1"/>
          <w:numId w:val="21"/>
        </w:numPr>
        <w:jc w:val="both"/>
      </w:pPr>
      <w:r>
        <w:t>Coordination of Care average for the adult population reports an average</w:t>
      </w:r>
      <w:r w:rsidR="00D33989">
        <w:t xml:space="preserve"> satisfaction</w:t>
      </w:r>
      <w:r>
        <w:t xml:space="preserve"> rate among the four </w:t>
      </w:r>
      <w:proofErr w:type="spellStart"/>
      <w:r>
        <w:t>MCOs</w:t>
      </w:r>
      <w:proofErr w:type="spellEnd"/>
      <w:r>
        <w:t xml:space="preserve"> of 84.7% which is above the national benchmark of 81.0%.</w:t>
      </w:r>
    </w:p>
    <w:p w14:paraId="2275FCE9" w14:textId="77777777" w:rsidR="008C68E0" w:rsidRDefault="008C68E0" w:rsidP="00C43356">
      <w:pPr>
        <w:pStyle w:val="Default"/>
        <w:numPr>
          <w:ilvl w:val="1"/>
          <w:numId w:val="21"/>
        </w:numPr>
        <w:jc w:val="both"/>
      </w:pPr>
      <w:r>
        <w:t xml:space="preserve">Rating of Healthcare for children (general population) reports an average </w:t>
      </w:r>
      <w:r w:rsidR="00D33989">
        <w:t xml:space="preserve">satisfaction </w:t>
      </w:r>
      <w:r>
        <w:t xml:space="preserve">rate among the four </w:t>
      </w:r>
      <w:proofErr w:type="spellStart"/>
      <w:r>
        <w:t>MCOs</w:t>
      </w:r>
      <w:proofErr w:type="spellEnd"/>
      <w:r>
        <w:t xml:space="preserve"> of </w:t>
      </w:r>
      <w:r w:rsidR="007F2CFB">
        <w:t xml:space="preserve">85.1% which is above the national </w:t>
      </w:r>
      <w:r w:rsidR="00E13D48">
        <w:t>benchmark</w:t>
      </w:r>
      <w:r w:rsidR="007F2CFB">
        <w:t xml:space="preserve"> of 84.7%.</w:t>
      </w:r>
    </w:p>
    <w:p w14:paraId="2374342A" w14:textId="77777777" w:rsidR="007F2CFB" w:rsidRDefault="007F2CFB" w:rsidP="00C43356">
      <w:pPr>
        <w:pStyle w:val="Default"/>
        <w:numPr>
          <w:ilvl w:val="1"/>
          <w:numId w:val="21"/>
        </w:numPr>
        <w:jc w:val="both"/>
      </w:pPr>
      <w:r>
        <w:t>Coordination of Care average for children (general population) reports an average</w:t>
      </w:r>
      <w:r w:rsidR="00D33989">
        <w:t xml:space="preserve"> satisfaction</w:t>
      </w:r>
      <w:r>
        <w:t xml:space="preserve"> rate among the four </w:t>
      </w:r>
      <w:proofErr w:type="spellStart"/>
      <w:r>
        <w:t>MCOs</w:t>
      </w:r>
      <w:proofErr w:type="spellEnd"/>
      <w:r>
        <w:t xml:space="preserve"> of 84.7% which is above the national benchmark of 81.0%.</w:t>
      </w:r>
    </w:p>
    <w:p w14:paraId="3C01E79B" w14:textId="77777777" w:rsidR="007F2CFB" w:rsidRDefault="007F2CFB" w:rsidP="00C43356">
      <w:pPr>
        <w:pStyle w:val="Default"/>
        <w:numPr>
          <w:ilvl w:val="1"/>
          <w:numId w:val="21"/>
        </w:numPr>
        <w:jc w:val="both"/>
      </w:pPr>
      <w:r>
        <w:t xml:space="preserve">Rating of Healthcare for children (chronic conditions) reports an average </w:t>
      </w:r>
      <w:r w:rsidR="00D33989">
        <w:t xml:space="preserve">satisfaction </w:t>
      </w:r>
      <w:r w:rsidR="00E13D48">
        <w:t>rate</w:t>
      </w:r>
      <w:r>
        <w:t xml:space="preserve"> among the four </w:t>
      </w:r>
      <w:proofErr w:type="spellStart"/>
      <w:r>
        <w:t>MCOs</w:t>
      </w:r>
      <w:proofErr w:type="spellEnd"/>
      <w:r>
        <w:t xml:space="preserve"> of 79.07% which is below the national benchmark of 83.3%</w:t>
      </w:r>
    </w:p>
    <w:p w14:paraId="301EEF90" w14:textId="77777777" w:rsidR="007F2CFB" w:rsidRDefault="007F2CFB" w:rsidP="00C43356">
      <w:pPr>
        <w:pStyle w:val="Default"/>
        <w:numPr>
          <w:ilvl w:val="1"/>
          <w:numId w:val="21"/>
        </w:numPr>
        <w:jc w:val="both"/>
      </w:pPr>
      <w:r>
        <w:lastRenderedPageBreak/>
        <w:t xml:space="preserve">Coordination of Care average for children (chronic conditions) reports an average </w:t>
      </w:r>
      <w:r w:rsidR="00D33989">
        <w:t xml:space="preserve">satisfaction </w:t>
      </w:r>
      <w:r>
        <w:t xml:space="preserve">rate </w:t>
      </w:r>
      <w:r w:rsidR="00E13D48">
        <w:t>among</w:t>
      </w:r>
      <w:r>
        <w:t xml:space="preserve"> the four </w:t>
      </w:r>
      <w:proofErr w:type="spellStart"/>
      <w:r>
        <w:t>MCOs</w:t>
      </w:r>
      <w:proofErr w:type="spellEnd"/>
      <w:r>
        <w:t xml:space="preserve"> of 84.05% which is above the national benchmark of 79.8%.</w:t>
      </w:r>
    </w:p>
    <w:p w14:paraId="2DD94161" w14:textId="77777777" w:rsidR="007F2CFB" w:rsidRDefault="007F2CFB" w:rsidP="00AC3CDC">
      <w:pPr>
        <w:pStyle w:val="Default"/>
        <w:numPr>
          <w:ilvl w:val="0"/>
          <w:numId w:val="25"/>
        </w:numPr>
        <w:jc w:val="both"/>
      </w:pPr>
      <w:r>
        <w:t>CMS mandate</w:t>
      </w:r>
      <w:r w:rsidR="00A9340F">
        <w:t>s</w:t>
      </w:r>
      <w:r>
        <w:t xml:space="preserve"> three annual External Quality Review (</w:t>
      </w:r>
      <w:proofErr w:type="spellStart"/>
      <w:r>
        <w:t>EQRO</w:t>
      </w:r>
      <w:proofErr w:type="spellEnd"/>
      <w:r>
        <w:t xml:space="preserve">) audits.  The </w:t>
      </w:r>
      <w:proofErr w:type="spellStart"/>
      <w:r w:rsidR="00A9340F">
        <w:t>EQRO</w:t>
      </w:r>
      <w:r w:rsidR="009443F1">
        <w:t>’</w:t>
      </w:r>
      <w:r w:rsidR="00A9340F">
        <w:t>s</w:t>
      </w:r>
      <w:proofErr w:type="spellEnd"/>
      <w:r w:rsidR="00A9340F">
        <w:t xml:space="preserve"> review methodology </w:t>
      </w:r>
      <w:r>
        <w:t>followed the establi</w:t>
      </w:r>
      <w:r w:rsidR="00A9340F">
        <w:t xml:space="preserve">shed CMS protocol.  All four </w:t>
      </w:r>
      <w:proofErr w:type="spellStart"/>
      <w:r w:rsidR="00A9340F">
        <w:t>MCOs</w:t>
      </w:r>
      <w:proofErr w:type="spellEnd"/>
      <w:r w:rsidR="00A9340F">
        <w:t xml:space="preserve"> were awarded full compliance in 2014 in the areas of:  </w:t>
      </w:r>
    </w:p>
    <w:p w14:paraId="02ADE675" w14:textId="77777777" w:rsidR="00A9340F" w:rsidRDefault="00A9340F" w:rsidP="00AC3CDC">
      <w:pPr>
        <w:pStyle w:val="Default"/>
        <w:numPr>
          <w:ilvl w:val="1"/>
          <w:numId w:val="25"/>
        </w:numPr>
        <w:jc w:val="both"/>
      </w:pPr>
      <w:r>
        <w:t>Compliance of contractual requirements</w:t>
      </w:r>
      <w:r w:rsidR="00EA0160">
        <w:t xml:space="preserve"> </w:t>
      </w:r>
      <w:r w:rsidR="00D33989">
        <w:t>including enrollment/disenrollment, member materials, member services, provider network, care coordination, grievances and appeals, and program integrity.</w:t>
      </w:r>
      <w:r w:rsidR="00EA0160">
        <w:t>....</w:t>
      </w:r>
    </w:p>
    <w:p w14:paraId="646EBD2A" w14:textId="77777777" w:rsidR="00A9340F" w:rsidRDefault="00A9340F" w:rsidP="00AC3CDC">
      <w:pPr>
        <w:pStyle w:val="Default"/>
        <w:numPr>
          <w:ilvl w:val="1"/>
          <w:numId w:val="25"/>
        </w:numPr>
        <w:jc w:val="both"/>
      </w:pPr>
      <w:r>
        <w:t>Performance measure validation</w:t>
      </w:r>
    </w:p>
    <w:p w14:paraId="075BE9FA" w14:textId="77777777" w:rsidR="00AC3CDC" w:rsidRDefault="00A9340F" w:rsidP="00322289">
      <w:pPr>
        <w:pStyle w:val="Default"/>
        <w:numPr>
          <w:ilvl w:val="1"/>
          <w:numId w:val="25"/>
        </w:numPr>
        <w:jc w:val="both"/>
      </w:pPr>
      <w:r>
        <w:t>Performance improvement plan validation.</w:t>
      </w:r>
    </w:p>
    <w:p w14:paraId="6C2BCDA5" w14:textId="77777777" w:rsidR="00982299" w:rsidRDefault="00AC3CDC" w:rsidP="00982299">
      <w:pPr>
        <w:pStyle w:val="Default"/>
        <w:numPr>
          <w:ilvl w:val="0"/>
          <w:numId w:val="25"/>
        </w:numPr>
      </w:pPr>
      <w:r w:rsidRPr="00982299">
        <w:t>Secret Shopper Survey</w:t>
      </w:r>
      <w:r w:rsidR="00982299" w:rsidRPr="00982299">
        <w:br/>
        <w:t>HSD conducted a S</w:t>
      </w:r>
      <w:r w:rsidR="00B020D4">
        <w:t xml:space="preserve">ecret </w:t>
      </w:r>
      <w:r w:rsidR="00982299" w:rsidRPr="00982299">
        <w:t>S</w:t>
      </w:r>
      <w:r w:rsidR="00B020D4">
        <w:t xml:space="preserve">hopper </w:t>
      </w:r>
      <w:r w:rsidR="00982299" w:rsidRPr="00982299">
        <w:t>S</w:t>
      </w:r>
      <w:r w:rsidR="00B020D4">
        <w:t>urvey</w:t>
      </w:r>
      <w:r w:rsidR="00982299" w:rsidRPr="00982299">
        <w:t xml:space="preserve"> of providers</w:t>
      </w:r>
      <w:r w:rsidR="00B020D4">
        <w:t xml:space="preserve"> in August 2016. Over 300 primary care providers (PCP) and specialty </w:t>
      </w:r>
      <w:r w:rsidR="00982299" w:rsidRPr="00982299">
        <w:t xml:space="preserve">providers were randomly selected and contacted. Highlights of </w:t>
      </w:r>
      <w:r w:rsidR="00B020D4">
        <w:t xml:space="preserve">survey </w:t>
      </w:r>
      <w:r w:rsidR="00982299" w:rsidRPr="00982299">
        <w:t xml:space="preserve">results are: </w:t>
      </w:r>
    </w:p>
    <w:p w14:paraId="677D2B20" w14:textId="77777777" w:rsidR="00B020D4" w:rsidRDefault="002B5350" w:rsidP="00415BB3">
      <w:pPr>
        <w:pStyle w:val="Default"/>
        <w:numPr>
          <w:ilvl w:val="0"/>
          <w:numId w:val="25"/>
        </w:numPr>
        <w:tabs>
          <w:tab w:val="left" w:pos="1440"/>
        </w:tabs>
        <w:ind w:left="1440"/>
      </w:pPr>
      <w:r>
        <w:t>On average, e</w:t>
      </w:r>
      <w:r w:rsidR="00B020D4">
        <w:t xml:space="preserve">xcept for new patient </w:t>
      </w:r>
      <w:r w:rsidR="00725EAF">
        <w:t>c</w:t>
      </w:r>
      <w:r w:rsidR="00B020D4">
        <w:t>ardiology appointments, the time-to-appointment</w:t>
      </w:r>
      <w:r w:rsidR="00415BB3">
        <w:t xml:space="preserve"> timeframes </w:t>
      </w:r>
      <w:r w:rsidR="00B020D4">
        <w:t>for new, established and urgent patient</w:t>
      </w:r>
      <w:r w:rsidR="00415BB3">
        <w:t xml:space="preserve"> appointments</w:t>
      </w:r>
      <w:r w:rsidR="00B020D4">
        <w:t xml:space="preserve"> were met, or</w:t>
      </w:r>
      <w:r w:rsidR="00415BB3">
        <w:t xml:space="preserve"> appointments</w:t>
      </w:r>
      <w:r w:rsidR="00B020D4">
        <w:t xml:space="preserve"> were offered earlier than managed care contrac</w:t>
      </w:r>
      <w:r w:rsidR="00415BB3">
        <w:t>t standards</w:t>
      </w:r>
      <w:r w:rsidR="00B020D4">
        <w:t xml:space="preserve"> </w:t>
      </w:r>
    </w:p>
    <w:p w14:paraId="47EC51F3" w14:textId="77777777" w:rsidR="00B020D4" w:rsidRDefault="00415BB3" w:rsidP="00B020D4">
      <w:pPr>
        <w:pStyle w:val="Default"/>
        <w:numPr>
          <w:ilvl w:val="0"/>
          <w:numId w:val="28"/>
        </w:numPr>
        <w:tabs>
          <w:tab w:val="left" w:pos="1440"/>
        </w:tabs>
        <w:ind w:left="1080" w:firstLine="0"/>
      </w:pPr>
      <w:r>
        <w:t>13% of PCPs offer extended hours (evening or weekend hours, or both)</w:t>
      </w:r>
    </w:p>
    <w:p w14:paraId="5010C39F" w14:textId="77777777" w:rsidR="00415BB3" w:rsidRDefault="00415BB3" w:rsidP="00B020D4">
      <w:pPr>
        <w:pStyle w:val="Default"/>
        <w:numPr>
          <w:ilvl w:val="0"/>
          <w:numId w:val="28"/>
        </w:numPr>
        <w:tabs>
          <w:tab w:val="left" w:pos="1440"/>
        </w:tabs>
        <w:ind w:left="1080" w:firstLine="0"/>
      </w:pPr>
      <w:r>
        <w:t xml:space="preserve">93% of PCPs who were reached accept Medicaid, and of those, 88% are </w:t>
      </w:r>
      <w:r>
        <w:tab/>
        <w:t xml:space="preserve">contracted with all four </w:t>
      </w:r>
      <w:proofErr w:type="spellStart"/>
      <w:r>
        <w:t>MCOs</w:t>
      </w:r>
      <w:proofErr w:type="spellEnd"/>
    </w:p>
    <w:p w14:paraId="2E2D9DA1" w14:textId="77777777" w:rsidR="00415BB3" w:rsidRDefault="00415BB3" w:rsidP="00B020D4">
      <w:pPr>
        <w:pStyle w:val="Default"/>
        <w:numPr>
          <w:ilvl w:val="0"/>
          <w:numId w:val="28"/>
        </w:numPr>
        <w:tabs>
          <w:tab w:val="left" w:pos="1440"/>
        </w:tabs>
        <w:ind w:left="1080" w:firstLine="0"/>
      </w:pPr>
      <w:r>
        <w:t xml:space="preserve">Only 2% of providers referred members to Urgent Care or an Emergency Room </w:t>
      </w:r>
      <w:r>
        <w:tab/>
        <w:t xml:space="preserve">when asked how soon an established patient could be seen for a sick or urgent </w:t>
      </w:r>
      <w:r>
        <w:tab/>
        <w:t>appointment</w:t>
      </w:r>
    </w:p>
    <w:p w14:paraId="2704EE6D" w14:textId="77777777" w:rsidR="00415BB3" w:rsidRPr="00982299" w:rsidRDefault="00415BB3" w:rsidP="00B020D4">
      <w:pPr>
        <w:pStyle w:val="Default"/>
        <w:numPr>
          <w:ilvl w:val="0"/>
          <w:numId w:val="28"/>
        </w:numPr>
        <w:tabs>
          <w:tab w:val="left" w:pos="1440"/>
        </w:tabs>
        <w:ind w:left="1080" w:firstLine="0"/>
      </w:pPr>
      <w:r>
        <w:t xml:space="preserve">On average, established patients who identified as sick or needing an urgent </w:t>
      </w:r>
      <w:r>
        <w:tab/>
        <w:t xml:space="preserve">appointment could be seen within 1 business day. </w:t>
      </w:r>
    </w:p>
    <w:p w14:paraId="1D27C656" w14:textId="1D950802" w:rsidR="001B294C" w:rsidRDefault="00E825A6" w:rsidP="001B294C">
      <w:pPr>
        <w:pStyle w:val="Default"/>
        <w:numPr>
          <w:ilvl w:val="0"/>
          <w:numId w:val="23"/>
        </w:numPr>
        <w:jc w:val="both"/>
      </w:pPr>
      <w:r>
        <w:t xml:space="preserve">All </w:t>
      </w:r>
      <w:proofErr w:type="spellStart"/>
      <w:r>
        <w:t>MCOs</w:t>
      </w:r>
      <w:proofErr w:type="spellEnd"/>
      <w:r>
        <w:t xml:space="preserve"> continue to increase the use of telemedicine visits in 2016.  The 2017 Delivery System Target requires </w:t>
      </w:r>
      <w:proofErr w:type="spellStart"/>
      <w:r>
        <w:t>MCOs</w:t>
      </w:r>
      <w:proofErr w:type="spellEnd"/>
      <w:r>
        <w:t xml:space="preserve"> to increase utilization of telemedicine office visits with specialists a minimum of 15% in 2016. Targets were developed based on the </w:t>
      </w:r>
      <w:proofErr w:type="spellStart"/>
      <w:r>
        <w:t>MCO’s</w:t>
      </w:r>
      <w:proofErr w:type="spellEnd"/>
      <w:r>
        <w:t xml:space="preserve"> baseline number of telemedicine visits in 2015</w:t>
      </w:r>
      <w:r w:rsidR="00DE08DE">
        <w:t>.</w:t>
      </w:r>
      <w:r>
        <w:t xml:space="preserve"> One </w:t>
      </w:r>
      <w:proofErr w:type="spellStart"/>
      <w:r>
        <w:t>MCO’s</w:t>
      </w:r>
      <w:proofErr w:type="spellEnd"/>
      <w:r>
        <w:t xml:space="preserve"> baseline was 2,043 visits in 2015, however this </w:t>
      </w:r>
      <w:proofErr w:type="spellStart"/>
      <w:r>
        <w:t>MCO</w:t>
      </w:r>
      <w:proofErr w:type="spellEnd"/>
      <w:r>
        <w:t xml:space="preserve"> has significantly increased and reported 3,501 visits through </w:t>
      </w:r>
      <w:r w:rsidR="00AB7DF6">
        <w:t xml:space="preserve">the third </w:t>
      </w:r>
      <w:r>
        <w:t>quarter</w:t>
      </w:r>
      <w:r w:rsidR="00AB7DF6">
        <w:t xml:space="preserve"> of </w:t>
      </w:r>
      <w:r>
        <w:t>2016.</w:t>
      </w:r>
      <w:r w:rsidR="00DE08DE">
        <w:t xml:space="preserve"> </w:t>
      </w:r>
      <w:r w:rsidR="001B294C">
        <w:t xml:space="preserve">All </w:t>
      </w:r>
      <w:proofErr w:type="spellStart"/>
      <w:r w:rsidR="001B294C">
        <w:t>MCOs</w:t>
      </w:r>
      <w:proofErr w:type="spellEnd"/>
      <w:r w:rsidR="001B294C">
        <w:t xml:space="preserve"> increased their members being served in a Patient Centered Medical Home (</w:t>
      </w:r>
      <w:proofErr w:type="spellStart"/>
      <w:r w:rsidR="001B294C">
        <w:t>PCMH</w:t>
      </w:r>
      <w:proofErr w:type="spellEnd"/>
      <w:r w:rsidR="001B294C">
        <w:t xml:space="preserve">) by 5% or maintained a minimum of 40%, meeting the </w:t>
      </w:r>
      <w:proofErr w:type="spellStart"/>
      <w:r w:rsidR="001B294C">
        <w:t>PCMH</w:t>
      </w:r>
      <w:proofErr w:type="spellEnd"/>
      <w:r w:rsidR="001B294C">
        <w:t xml:space="preserve"> Delivery System Target. </w:t>
      </w:r>
    </w:p>
    <w:p w14:paraId="19F083AD" w14:textId="77777777" w:rsidR="001B294C" w:rsidRPr="00C90158" w:rsidRDefault="001B294C" w:rsidP="00F16905">
      <w:pPr>
        <w:pStyle w:val="Default"/>
        <w:numPr>
          <w:ilvl w:val="1"/>
          <w:numId w:val="23"/>
        </w:numPr>
        <w:jc w:val="both"/>
      </w:pPr>
      <w:r>
        <w:t xml:space="preserve">One </w:t>
      </w:r>
      <w:proofErr w:type="spellStart"/>
      <w:r>
        <w:t>MCO</w:t>
      </w:r>
      <w:proofErr w:type="spellEnd"/>
      <w:r>
        <w:t xml:space="preserve"> had 53% of their members being served in a </w:t>
      </w:r>
      <w:proofErr w:type="spellStart"/>
      <w:r>
        <w:t>PCMH</w:t>
      </w:r>
      <w:proofErr w:type="spellEnd"/>
      <w:r>
        <w:t>.</w:t>
      </w:r>
    </w:p>
    <w:p w14:paraId="5E89472B" w14:textId="4662B060" w:rsidR="00BD6A07" w:rsidRDefault="000A58BA" w:rsidP="00BD6A07">
      <w:pPr>
        <w:pStyle w:val="Default"/>
        <w:numPr>
          <w:ilvl w:val="0"/>
          <w:numId w:val="23"/>
        </w:numPr>
        <w:jc w:val="both"/>
      </w:pPr>
      <w:r>
        <w:t xml:space="preserve">70 percent of members are </w:t>
      </w:r>
      <w:r w:rsidR="00BD6A07">
        <w:t>participating in Centennial Care Member Rewards Program that offers rewards for engaging in healthy behaviors; adding reward for management of hypertension in 2016 as data suggests high prevalence and costs for this condition among the populatio</w:t>
      </w:r>
      <w:r>
        <w:t>n.</w:t>
      </w:r>
    </w:p>
    <w:p w14:paraId="18764502" w14:textId="77777777" w:rsidR="000A58BA" w:rsidRDefault="000A58BA" w:rsidP="000A58BA">
      <w:pPr>
        <w:pStyle w:val="Default"/>
        <w:ind w:left="720"/>
        <w:jc w:val="both"/>
      </w:pPr>
    </w:p>
    <w:p w14:paraId="537C2CCA" w14:textId="77777777" w:rsidR="00C90158" w:rsidRPr="00C90158" w:rsidRDefault="00C90158" w:rsidP="00C90158">
      <w:pPr>
        <w:pStyle w:val="Default"/>
        <w:ind w:left="720"/>
        <w:jc w:val="both"/>
      </w:pPr>
    </w:p>
    <w:p w14:paraId="5DCF1800" w14:textId="77777777" w:rsidR="00AA7090" w:rsidRDefault="00AA7090" w:rsidP="00AA7090">
      <w:pPr>
        <w:pStyle w:val="Default"/>
        <w:ind w:left="360"/>
        <w:jc w:val="both"/>
        <w:rPr>
          <w:b/>
          <w:u w:val="single"/>
        </w:rPr>
      </w:pPr>
      <w:r>
        <w:rPr>
          <w:b/>
          <w:u w:val="single"/>
        </w:rPr>
        <w:lastRenderedPageBreak/>
        <w:t>Care Coordination</w:t>
      </w:r>
    </w:p>
    <w:p w14:paraId="6CD890F0" w14:textId="77777777" w:rsidR="00001C91" w:rsidRPr="00001C91" w:rsidRDefault="00001C91" w:rsidP="00001C91">
      <w:pPr>
        <w:autoSpaceDE w:val="0"/>
        <w:autoSpaceDN w:val="0"/>
        <w:adjustRightInd w:val="0"/>
        <w:spacing w:after="0" w:line="240" w:lineRule="auto"/>
        <w:ind w:left="360"/>
        <w:jc w:val="both"/>
        <w:rPr>
          <w:rFonts w:ascii="Times New Roman" w:hAnsi="Times New Roman" w:cs="Times New Roman"/>
          <w:color w:val="000000"/>
          <w:sz w:val="24"/>
          <w:szCs w:val="24"/>
        </w:rPr>
      </w:pPr>
      <w:r w:rsidRPr="00001C91">
        <w:rPr>
          <w:rFonts w:ascii="Times New Roman" w:hAnsi="Times New Roman" w:cs="Times New Roman"/>
          <w:color w:val="000000"/>
          <w:sz w:val="24"/>
          <w:szCs w:val="24"/>
        </w:rPr>
        <w:t>Care Coordination is the cornerstone of Centennial Care. It involves provider collaboration to coordinate member health services to achieve physical, behavioral, and long-term care goals for Medicaid recipients.</w:t>
      </w:r>
    </w:p>
    <w:p w14:paraId="4B3D3854" w14:textId="77777777" w:rsidR="00001C91" w:rsidRPr="00001C91" w:rsidRDefault="00001C91" w:rsidP="00001C91">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01C91">
        <w:rPr>
          <w:rFonts w:ascii="Times New Roman" w:hAnsi="Times New Roman" w:cs="Times New Roman"/>
          <w:color w:val="000000"/>
          <w:sz w:val="24"/>
          <w:szCs w:val="24"/>
        </w:rPr>
        <w:t>A standardized</w:t>
      </w:r>
      <w:r w:rsidR="000F6F5F">
        <w:rPr>
          <w:rFonts w:ascii="Times New Roman" w:hAnsi="Times New Roman" w:cs="Times New Roman"/>
          <w:color w:val="000000"/>
          <w:sz w:val="24"/>
          <w:szCs w:val="24"/>
        </w:rPr>
        <w:t xml:space="preserve"> Health Risk Assessment (</w:t>
      </w:r>
      <w:proofErr w:type="spellStart"/>
      <w:r w:rsidRPr="00001C91">
        <w:rPr>
          <w:rFonts w:ascii="Times New Roman" w:hAnsi="Times New Roman" w:cs="Times New Roman"/>
          <w:color w:val="000000"/>
          <w:sz w:val="24"/>
          <w:szCs w:val="24"/>
        </w:rPr>
        <w:t>HRA</w:t>
      </w:r>
      <w:proofErr w:type="spellEnd"/>
      <w:r w:rsidR="000F6F5F">
        <w:rPr>
          <w:rFonts w:ascii="Times New Roman" w:hAnsi="Times New Roman" w:cs="Times New Roman"/>
          <w:color w:val="000000"/>
          <w:sz w:val="24"/>
          <w:szCs w:val="24"/>
        </w:rPr>
        <w:t>)</w:t>
      </w:r>
      <w:r w:rsidRPr="00001C91">
        <w:rPr>
          <w:rFonts w:ascii="Times New Roman" w:hAnsi="Times New Roman" w:cs="Times New Roman"/>
          <w:color w:val="000000"/>
          <w:sz w:val="24"/>
          <w:szCs w:val="24"/>
        </w:rPr>
        <w:t xml:space="preserve"> was finalized and implemented by all </w:t>
      </w:r>
      <w:proofErr w:type="spellStart"/>
      <w:r w:rsidRPr="00001C91">
        <w:rPr>
          <w:rFonts w:ascii="Times New Roman" w:hAnsi="Times New Roman" w:cs="Times New Roman"/>
          <w:color w:val="000000"/>
          <w:sz w:val="24"/>
          <w:szCs w:val="24"/>
        </w:rPr>
        <w:t>MCOs</w:t>
      </w:r>
      <w:proofErr w:type="spellEnd"/>
      <w:r w:rsidRPr="00001C91">
        <w:rPr>
          <w:rFonts w:ascii="Times New Roman" w:hAnsi="Times New Roman" w:cs="Times New Roman"/>
          <w:color w:val="000000"/>
          <w:sz w:val="24"/>
          <w:szCs w:val="24"/>
        </w:rPr>
        <w:t xml:space="preserve"> July 1, 2016</w:t>
      </w:r>
      <w:r w:rsidR="000F6F5F">
        <w:rPr>
          <w:rFonts w:ascii="Times New Roman" w:hAnsi="Times New Roman" w:cs="Times New Roman"/>
          <w:color w:val="000000"/>
          <w:sz w:val="24"/>
          <w:szCs w:val="24"/>
        </w:rPr>
        <w:t xml:space="preserve"> </w:t>
      </w:r>
      <w:r w:rsidR="000F6F5F" w:rsidRPr="000F6F5F">
        <w:rPr>
          <w:rFonts w:ascii="Times New Roman" w:hAnsi="Times New Roman" w:cs="Times New Roman"/>
          <w:color w:val="000000"/>
          <w:sz w:val="24"/>
          <w:szCs w:val="24"/>
        </w:rPr>
        <w:t xml:space="preserve">for use in assessment of newly enrolled Medicaid members or members with a change in health condition. The requirement for an annual </w:t>
      </w:r>
      <w:proofErr w:type="spellStart"/>
      <w:r w:rsidR="000F6F5F" w:rsidRPr="000F6F5F">
        <w:rPr>
          <w:rFonts w:ascii="Times New Roman" w:hAnsi="Times New Roman" w:cs="Times New Roman"/>
          <w:color w:val="000000"/>
          <w:sz w:val="24"/>
          <w:szCs w:val="24"/>
        </w:rPr>
        <w:t>HRA</w:t>
      </w:r>
      <w:proofErr w:type="spellEnd"/>
      <w:r w:rsidR="000F6F5F" w:rsidRPr="000F6F5F">
        <w:rPr>
          <w:rFonts w:ascii="Times New Roman" w:hAnsi="Times New Roman" w:cs="Times New Roman"/>
          <w:color w:val="000000"/>
          <w:sz w:val="24"/>
          <w:szCs w:val="24"/>
        </w:rPr>
        <w:t xml:space="preserve"> for existing member</w:t>
      </w:r>
      <w:r w:rsidR="000F6F5F">
        <w:rPr>
          <w:rFonts w:ascii="Times New Roman" w:hAnsi="Times New Roman" w:cs="Times New Roman"/>
          <w:color w:val="000000"/>
          <w:sz w:val="24"/>
          <w:szCs w:val="24"/>
        </w:rPr>
        <w:t>s</w:t>
      </w:r>
      <w:r w:rsidR="000F6F5F" w:rsidRPr="000F6F5F">
        <w:rPr>
          <w:rFonts w:ascii="Times New Roman" w:hAnsi="Times New Roman" w:cs="Times New Roman"/>
          <w:color w:val="000000"/>
          <w:sz w:val="24"/>
          <w:szCs w:val="24"/>
        </w:rPr>
        <w:t xml:space="preserve"> </w:t>
      </w:r>
      <w:r w:rsidR="00F15D85">
        <w:rPr>
          <w:rFonts w:ascii="Times New Roman" w:hAnsi="Times New Roman" w:cs="Times New Roman"/>
          <w:color w:val="000000"/>
          <w:sz w:val="24"/>
          <w:szCs w:val="24"/>
        </w:rPr>
        <w:t>was deleted in Amendment #6 of the</w:t>
      </w:r>
      <w:r w:rsidR="00C43356">
        <w:rPr>
          <w:rFonts w:ascii="Times New Roman" w:hAnsi="Times New Roman" w:cs="Times New Roman"/>
          <w:color w:val="000000"/>
          <w:sz w:val="24"/>
          <w:szCs w:val="24"/>
        </w:rPr>
        <w:t xml:space="preserve"> </w:t>
      </w:r>
      <w:r w:rsidR="00F15D85">
        <w:rPr>
          <w:rFonts w:ascii="Times New Roman" w:hAnsi="Times New Roman" w:cs="Times New Roman"/>
          <w:color w:val="000000"/>
          <w:sz w:val="24"/>
          <w:szCs w:val="24"/>
        </w:rPr>
        <w:t xml:space="preserve">managed care contracts </w:t>
      </w:r>
      <w:r w:rsidR="000F6F5F" w:rsidRPr="000F6F5F">
        <w:rPr>
          <w:rFonts w:ascii="Times New Roman" w:hAnsi="Times New Roman" w:cs="Times New Roman"/>
          <w:color w:val="000000"/>
          <w:sz w:val="24"/>
          <w:szCs w:val="24"/>
        </w:rPr>
        <w:t>effective July 1, 2016</w:t>
      </w:r>
      <w:r w:rsidR="000F6F5F">
        <w:rPr>
          <w:rFonts w:ascii="Times New Roman" w:hAnsi="Times New Roman" w:cs="Times New Roman"/>
          <w:color w:val="000000"/>
          <w:sz w:val="24"/>
          <w:szCs w:val="24"/>
        </w:rPr>
        <w:t>.</w:t>
      </w:r>
      <w:r w:rsidR="000F6F5F">
        <w:rPr>
          <w:rFonts w:ascii="Times New Roman" w:hAnsi="Times New Roman" w:cs="Times New Roman"/>
          <w:b/>
          <w:color w:val="000000"/>
          <w:sz w:val="24"/>
          <w:szCs w:val="24"/>
        </w:rPr>
        <w:t xml:space="preserve"> </w:t>
      </w:r>
    </w:p>
    <w:p w14:paraId="06A6D326" w14:textId="77777777" w:rsidR="00001C91" w:rsidRPr="00001C91" w:rsidRDefault="00001C91" w:rsidP="00001C91">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01C91">
        <w:rPr>
          <w:rFonts w:ascii="Times New Roman" w:hAnsi="Times New Roman" w:cs="Times New Roman"/>
          <w:color w:val="000000"/>
          <w:sz w:val="24"/>
          <w:szCs w:val="24"/>
        </w:rPr>
        <w:t>Members in need of a higher level of care coordination receive a Comprehensive Needs Assessment (CNA) to assess physical, behavioral, and long-term care needs.</w:t>
      </w:r>
    </w:p>
    <w:p w14:paraId="48FF0A1B" w14:textId="77777777" w:rsidR="00001C91" w:rsidRPr="00001C91" w:rsidRDefault="00001C91" w:rsidP="00001C91">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01C91">
        <w:rPr>
          <w:rFonts w:ascii="Times New Roman" w:hAnsi="Times New Roman" w:cs="Times New Roman"/>
          <w:color w:val="000000"/>
          <w:sz w:val="24"/>
          <w:szCs w:val="24"/>
        </w:rPr>
        <w:t xml:space="preserve">Members in Level 2 or Level 3 must work with an assigned care coordinator to develop and implement an individualized care plan based on a person-centered approach that includes the member’s unique needs and preferences.  </w:t>
      </w:r>
    </w:p>
    <w:p w14:paraId="7B339B93" w14:textId="77777777" w:rsidR="00001C91" w:rsidRPr="00001C91" w:rsidRDefault="00001C91" w:rsidP="00001C91">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001C91">
        <w:rPr>
          <w:rFonts w:ascii="Times New Roman" w:hAnsi="Times New Roman" w:cs="Times New Roman"/>
          <w:color w:val="000000"/>
          <w:sz w:val="24"/>
          <w:szCs w:val="24"/>
        </w:rPr>
        <w:t>Care Coordination Level 2 members receive:</w:t>
      </w:r>
    </w:p>
    <w:p w14:paraId="05E45A94" w14:textId="77777777" w:rsidR="00001C91" w:rsidRPr="00322289" w:rsidRDefault="00001C91" w:rsidP="00322289">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322289">
        <w:rPr>
          <w:rFonts w:ascii="Times New Roman" w:hAnsi="Times New Roman" w:cs="Times New Roman"/>
          <w:color w:val="000000"/>
          <w:sz w:val="24"/>
          <w:szCs w:val="24"/>
        </w:rPr>
        <w:t>Semi-annual in person visits</w:t>
      </w:r>
    </w:p>
    <w:p w14:paraId="2473A321" w14:textId="77777777" w:rsidR="00001C91" w:rsidRPr="00322289" w:rsidRDefault="00001C91" w:rsidP="00322289">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322289">
        <w:rPr>
          <w:rFonts w:ascii="Times New Roman" w:hAnsi="Times New Roman" w:cs="Times New Roman"/>
          <w:color w:val="000000"/>
          <w:sz w:val="24"/>
          <w:szCs w:val="24"/>
        </w:rPr>
        <w:t>Quarterly telephone contact</w:t>
      </w:r>
    </w:p>
    <w:p w14:paraId="0345E7C8" w14:textId="77777777" w:rsidR="00001C91" w:rsidRDefault="00001C91" w:rsidP="00322289">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322289">
        <w:rPr>
          <w:rFonts w:ascii="Times New Roman" w:hAnsi="Times New Roman" w:cs="Times New Roman"/>
          <w:color w:val="000000"/>
          <w:sz w:val="24"/>
          <w:szCs w:val="24"/>
        </w:rPr>
        <w:t xml:space="preserve">Annual CNA to determine if the level of coordination and care plan are appropriate </w:t>
      </w:r>
    </w:p>
    <w:p w14:paraId="2BD99F60" w14:textId="77777777" w:rsidR="00083328" w:rsidRPr="00322289" w:rsidRDefault="00083328" w:rsidP="00322289">
      <w:pPr>
        <w:pStyle w:val="ListParagraph"/>
        <w:autoSpaceDE w:val="0"/>
        <w:autoSpaceDN w:val="0"/>
        <w:adjustRightInd w:val="0"/>
        <w:spacing w:after="0" w:line="240" w:lineRule="auto"/>
        <w:ind w:left="2520"/>
        <w:jc w:val="both"/>
        <w:rPr>
          <w:rFonts w:ascii="Times New Roman" w:hAnsi="Times New Roman" w:cs="Times New Roman"/>
          <w:color w:val="000000"/>
          <w:sz w:val="24"/>
          <w:szCs w:val="24"/>
        </w:rPr>
      </w:pPr>
    </w:p>
    <w:p w14:paraId="56C3F6CD" w14:textId="77777777" w:rsidR="00001C91" w:rsidRPr="00001C91" w:rsidRDefault="00001C91" w:rsidP="00001C91">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001C91">
        <w:rPr>
          <w:rFonts w:ascii="Times New Roman" w:hAnsi="Times New Roman" w:cs="Times New Roman"/>
          <w:color w:val="000000"/>
          <w:sz w:val="24"/>
          <w:szCs w:val="24"/>
        </w:rPr>
        <w:t>Care Coordination Level 3 members receive:</w:t>
      </w:r>
    </w:p>
    <w:p w14:paraId="36DFE78C" w14:textId="77777777" w:rsidR="00001C91" w:rsidRPr="00322289" w:rsidRDefault="00001C91" w:rsidP="00322289">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322289">
        <w:rPr>
          <w:rFonts w:ascii="Times New Roman" w:hAnsi="Times New Roman" w:cs="Times New Roman"/>
          <w:color w:val="000000"/>
          <w:sz w:val="24"/>
          <w:szCs w:val="24"/>
        </w:rPr>
        <w:t>Monthly telephone contact</w:t>
      </w:r>
    </w:p>
    <w:p w14:paraId="46C2ADDE" w14:textId="77777777" w:rsidR="00001C91" w:rsidRPr="00322289" w:rsidRDefault="00001C91" w:rsidP="00322289">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322289">
        <w:rPr>
          <w:rFonts w:ascii="Times New Roman" w:hAnsi="Times New Roman" w:cs="Times New Roman"/>
          <w:color w:val="000000"/>
          <w:sz w:val="24"/>
          <w:szCs w:val="24"/>
        </w:rPr>
        <w:t>Quarterly in-person visits</w:t>
      </w:r>
    </w:p>
    <w:p w14:paraId="3594E67B" w14:textId="77777777" w:rsidR="00001C91" w:rsidRPr="00322289" w:rsidRDefault="00001C91" w:rsidP="00322289">
      <w:pPr>
        <w:pStyle w:val="ListParagraph"/>
        <w:numPr>
          <w:ilvl w:val="1"/>
          <w:numId w:val="10"/>
        </w:numPr>
        <w:spacing w:after="0" w:line="240" w:lineRule="auto"/>
        <w:rPr>
          <w:rFonts w:ascii="Times New Roman" w:hAnsi="Times New Roman" w:cs="Times New Roman"/>
          <w:sz w:val="24"/>
          <w:szCs w:val="24"/>
        </w:rPr>
      </w:pPr>
      <w:r w:rsidRPr="00322289">
        <w:rPr>
          <w:rFonts w:ascii="Times New Roman" w:hAnsi="Times New Roman" w:cs="Times New Roman"/>
          <w:sz w:val="24"/>
          <w:szCs w:val="24"/>
        </w:rPr>
        <w:t>Semi-annual CNA to determine if the level of coordination and care plan are appropriate</w:t>
      </w:r>
    </w:p>
    <w:p w14:paraId="2C5AC571" w14:textId="77777777" w:rsidR="00371B2A" w:rsidRDefault="00371B2A" w:rsidP="00371B2A">
      <w:pPr>
        <w:pStyle w:val="Default"/>
        <w:jc w:val="both"/>
      </w:pPr>
    </w:p>
    <w:p w14:paraId="315541D7" w14:textId="77777777" w:rsidR="00E81891" w:rsidRDefault="00371B2A" w:rsidP="00371B2A">
      <w:pPr>
        <w:pStyle w:val="Default"/>
        <w:jc w:val="both"/>
      </w:pPr>
      <w:r>
        <w:rPr>
          <w:b/>
          <w:u w:val="single"/>
        </w:rPr>
        <w:t>Community Benefit</w:t>
      </w:r>
    </w:p>
    <w:p w14:paraId="2ECB9B04" w14:textId="6C8EB24E" w:rsidR="00E81891" w:rsidRDefault="00371B2A" w:rsidP="00371B2A">
      <w:pPr>
        <w:pStyle w:val="Default"/>
        <w:jc w:val="both"/>
      </w:pPr>
      <w:r>
        <w:t>Prior to the implementation of Centennial Care, recipients received home and community based services (</w:t>
      </w:r>
      <w:proofErr w:type="spellStart"/>
      <w:r>
        <w:t>HCBS</w:t>
      </w:r>
      <w:proofErr w:type="spellEnd"/>
      <w:r>
        <w:t xml:space="preserve">) through allocation to the </w:t>
      </w:r>
      <w:proofErr w:type="spellStart"/>
      <w:r>
        <w:t>HCBS</w:t>
      </w:r>
      <w:proofErr w:type="spellEnd"/>
      <w:r>
        <w:t xml:space="preserve"> waiver. In Centennial Care, all members with a Nursing Facility Level of Care may receive home and community based services</w:t>
      </w:r>
      <w:r w:rsidR="00E81891">
        <w:t xml:space="preserve">, known as the Community Benefit </w:t>
      </w:r>
      <w:r w:rsidR="00AB7DF6">
        <w:t xml:space="preserve">(CB) </w:t>
      </w:r>
      <w:r w:rsidR="00E81891">
        <w:t xml:space="preserve">package.  </w:t>
      </w:r>
      <w:r w:rsidR="00F0001F">
        <w:t>More than</w:t>
      </w:r>
      <w:r w:rsidR="00E81891">
        <w:t xml:space="preserve"> 2</w:t>
      </w:r>
      <w:r w:rsidR="00AB7DF6">
        <w:t>7</w:t>
      </w:r>
      <w:r w:rsidR="00E81891">
        <w:t xml:space="preserve">,000 members </w:t>
      </w:r>
      <w:r w:rsidR="00F0001F">
        <w:t xml:space="preserve">are </w:t>
      </w:r>
      <w:r w:rsidR="00E81891">
        <w:t>receiv</w:t>
      </w:r>
      <w:r w:rsidR="00F0001F">
        <w:t>ing</w:t>
      </w:r>
      <w:r w:rsidR="00E81891">
        <w:t xml:space="preserve"> home and community based services.</w:t>
      </w:r>
      <w:r w:rsidR="00AB7DF6">
        <w:t xml:space="preserve">  </w:t>
      </w:r>
      <w:r w:rsidR="00AB7DF6" w:rsidRPr="00232A11">
        <w:t xml:space="preserve">Personal Care Services (PCS) </w:t>
      </w:r>
      <w:r w:rsidR="00AB7DF6">
        <w:t xml:space="preserve">is the most utilized CB service. </w:t>
      </w:r>
      <w:r w:rsidR="00AB7DF6" w:rsidRPr="0023638A">
        <w:t xml:space="preserve">Total PCS expenditures have increased from $263 </w:t>
      </w:r>
      <w:r w:rsidR="00D74B13">
        <w:t>m</w:t>
      </w:r>
      <w:r w:rsidR="00AB7DF6" w:rsidRPr="0023638A">
        <w:t>illion</w:t>
      </w:r>
      <w:r w:rsidR="00AB7DF6">
        <w:t xml:space="preserve"> with 19,500 users</w:t>
      </w:r>
      <w:r w:rsidR="00AB7DF6" w:rsidRPr="0023638A">
        <w:t xml:space="preserve"> in 2013 to $</w:t>
      </w:r>
      <w:r w:rsidR="00AB7DF6">
        <w:t>345.8</w:t>
      </w:r>
      <w:r w:rsidR="00AB7DF6" w:rsidRPr="0023638A">
        <w:t xml:space="preserve"> </w:t>
      </w:r>
      <w:r w:rsidR="00D74B13">
        <w:t>m</w:t>
      </w:r>
      <w:r w:rsidR="00AB7DF6" w:rsidRPr="0023638A">
        <w:t>illion</w:t>
      </w:r>
      <w:r w:rsidR="00AB7DF6">
        <w:t xml:space="preserve"> with 27,836 users</w:t>
      </w:r>
      <w:r w:rsidR="00AB7DF6" w:rsidRPr="0023638A">
        <w:t xml:space="preserve"> in 2015.</w:t>
      </w:r>
      <w:r w:rsidR="00AB7DF6">
        <w:t xml:space="preserve">  </w:t>
      </w:r>
    </w:p>
    <w:p w14:paraId="5406ADFC" w14:textId="77777777" w:rsidR="00AB7DF6" w:rsidRDefault="00AB7DF6" w:rsidP="00322289"/>
    <w:p w14:paraId="1F4D8BF8" w14:textId="77777777" w:rsidR="00AB7DF6" w:rsidRPr="00D33989" w:rsidRDefault="00AB7DF6" w:rsidP="00322289">
      <w:r>
        <w:rPr>
          <w:rFonts w:ascii="Times New Roman" w:hAnsi="Times New Roman" w:cs="Times New Roman"/>
          <w:sz w:val="24"/>
          <w:szCs w:val="24"/>
        </w:rPr>
        <w:t xml:space="preserve">Under Centennial Care, NM has continued to reintegrate members from nursing facilities into the community, with 85.7% of members in the long-term care program being served in the community in 2015.  In the AARP’s annual report for 2014, </w:t>
      </w:r>
      <w:r w:rsidRPr="00DD62D7">
        <w:rPr>
          <w:rFonts w:ascii="Times New Roman" w:hAnsi="Times New Roman" w:cs="Times New Roman"/>
          <w:i/>
          <w:sz w:val="24"/>
          <w:szCs w:val="24"/>
        </w:rPr>
        <w:t>State Scorecard on Long-Term Services and Supports for Older Adults, People with Physical Disabilities and Family Caregivers</w:t>
      </w:r>
      <w:r>
        <w:rPr>
          <w:rFonts w:ascii="Times New Roman" w:hAnsi="Times New Roman" w:cs="Times New Roman"/>
          <w:sz w:val="24"/>
          <w:szCs w:val="24"/>
        </w:rPr>
        <w:t>, New Mexico ranks first in the nation for spending more than 65 percent of its long-term care dollars on home and community-based services.</w:t>
      </w:r>
    </w:p>
    <w:p w14:paraId="7CFF6063" w14:textId="77777777" w:rsidR="00E81891" w:rsidRDefault="00E81891" w:rsidP="00371B2A">
      <w:pPr>
        <w:pStyle w:val="Default"/>
        <w:jc w:val="both"/>
      </w:pPr>
    </w:p>
    <w:p w14:paraId="6C21B81D" w14:textId="77777777" w:rsidR="00E81891" w:rsidRDefault="00E81891" w:rsidP="00371B2A">
      <w:pPr>
        <w:pStyle w:val="Default"/>
        <w:jc w:val="both"/>
      </w:pPr>
      <w:r>
        <w:rPr>
          <w:b/>
          <w:u w:val="single"/>
        </w:rPr>
        <w:t xml:space="preserve">Community </w:t>
      </w:r>
      <w:proofErr w:type="spellStart"/>
      <w:r>
        <w:rPr>
          <w:b/>
          <w:u w:val="single"/>
        </w:rPr>
        <w:t>Intervenors</w:t>
      </w:r>
      <w:proofErr w:type="spellEnd"/>
    </w:p>
    <w:p w14:paraId="64A11E01" w14:textId="395B5DD6" w:rsidR="00E81891" w:rsidRDefault="00E81891" w:rsidP="00371B2A">
      <w:pPr>
        <w:pStyle w:val="Default"/>
        <w:jc w:val="both"/>
      </w:pPr>
      <w:r>
        <w:t xml:space="preserve">Centennial Care allows eligible deaf-blind members to work one-on-one with Community </w:t>
      </w:r>
      <w:proofErr w:type="spellStart"/>
      <w:r>
        <w:t>Intervenors</w:t>
      </w:r>
      <w:proofErr w:type="spellEnd"/>
      <w:r>
        <w:t xml:space="preserve">, who provide critical connections to </w:t>
      </w:r>
      <w:r w:rsidR="00D74B13">
        <w:t>services and the community</w:t>
      </w:r>
      <w:r>
        <w:t>:</w:t>
      </w:r>
    </w:p>
    <w:p w14:paraId="1408F4BE" w14:textId="77777777" w:rsidR="00E81891" w:rsidRDefault="00E81891" w:rsidP="00E81891">
      <w:pPr>
        <w:pStyle w:val="Default"/>
        <w:numPr>
          <w:ilvl w:val="0"/>
          <w:numId w:val="11"/>
        </w:numPr>
        <w:jc w:val="both"/>
      </w:pPr>
      <w:r>
        <w:t>Open channels of communication between the individual and others</w:t>
      </w:r>
    </w:p>
    <w:p w14:paraId="36A1D179" w14:textId="77777777" w:rsidR="00E81891" w:rsidRDefault="00E81891" w:rsidP="00E81891">
      <w:pPr>
        <w:pStyle w:val="Default"/>
        <w:numPr>
          <w:ilvl w:val="0"/>
          <w:numId w:val="11"/>
        </w:numPr>
        <w:jc w:val="both"/>
      </w:pPr>
      <w:r>
        <w:t>Help to provide access to information</w:t>
      </w:r>
    </w:p>
    <w:p w14:paraId="78EDEE7D" w14:textId="77777777" w:rsidR="00E81891" w:rsidRDefault="00E81891" w:rsidP="00E81891">
      <w:pPr>
        <w:pStyle w:val="Default"/>
        <w:numPr>
          <w:ilvl w:val="0"/>
          <w:numId w:val="11"/>
        </w:numPr>
        <w:jc w:val="both"/>
      </w:pPr>
      <w:r>
        <w:t>Facilitate the development and maintenance of self-directed independent living</w:t>
      </w:r>
    </w:p>
    <w:p w14:paraId="5AE321F3" w14:textId="77777777" w:rsidR="00E81891" w:rsidRDefault="00E81891" w:rsidP="00E81891">
      <w:pPr>
        <w:pStyle w:val="Default"/>
        <w:jc w:val="both"/>
      </w:pPr>
    </w:p>
    <w:p w14:paraId="569A60E3" w14:textId="77777777" w:rsidR="00E81891" w:rsidRDefault="00E81891" w:rsidP="00E81891">
      <w:pPr>
        <w:pStyle w:val="Default"/>
        <w:jc w:val="both"/>
      </w:pPr>
      <w:r>
        <w:rPr>
          <w:b/>
          <w:u w:val="single"/>
        </w:rPr>
        <w:t>Member Rewards Program</w:t>
      </w:r>
    </w:p>
    <w:p w14:paraId="7B83B6BC" w14:textId="77777777" w:rsidR="00E81891" w:rsidRDefault="00E81891" w:rsidP="00E81891">
      <w:pPr>
        <w:pStyle w:val="Default"/>
        <w:jc w:val="both"/>
      </w:pPr>
      <w:r>
        <w:t>The Member Rewards Program was developed to encourage members to become more active participants in their healthcare.</w:t>
      </w:r>
    </w:p>
    <w:p w14:paraId="07063513" w14:textId="77777777" w:rsidR="00E81891" w:rsidRDefault="00A32606" w:rsidP="00322289">
      <w:pPr>
        <w:pStyle w:val="Default"/>
        <w:numPr>
          <w:ilvl w:val="0"/>
          <w:numId w:val="34"/>
        </w:numPr>
        <w:jc w:val="both"/>
      </w:pPr>
      <w:r>
        <w:t>As of November 2016, 206,229</w:t>
      </w:r>
      <w:r w:rsidR="00BF6FE9">
        <w:t xml:space="preserve"> members have registered to earn credits in the program</w:t>
      </w:r>
      <w:r w:rsidR="00083328">
        <w:t xml:space="preserve"> (</w:t>
      </w:r>
      <w:hyperlink r:id="rId8" w:history="1">
        <w:r w:rsidR="00083328" w:rsidRPr="003B0DA3">
          <w:rPr>
            <w:rStyle w:val="Hyperlink"/>
          </w:rPr>
          <w:t>www.CentennialRewards.com</w:t>
        </w:r>
      </w:hyperlink>
      <w:r w:rsidR="00083328">
        <w:t>).</w:t>
      </w:r>
    </w:p>
    <w:p w14:paraId="142EC73D" w14:textId="77777777" w:rsidR="00BF6FE9" w:rsidRDefault="00BF6FE9" w:rsidP="00E81891">
      <w:pPr>
        <w:pStyle w:val="Default"/>
        <w:numPr>
          <w:ilvl w:val="0"/>
          <w:numId w:val="13"/>
        </w:numPr>
        <w:jc w:val="both"/>
      </w:pPr>
      <w:r>
        <w:t>Members earn rewards by making healthy choices and taking part in specific programs:</w:t>
      </w:r>
    </w:p>
    <w:p w14:paraId="619E1E83" w14:textId="77777777" w:rsidR="00BF6FE9" w:rsidRDefault="004C03CE" w:rsidP="00BF6FE9">
      <w:pPr>
        <w:pStyle w:val="Default"/>
        <w:numPr>
          <w:ilvl w:val="0"/>
          <w:numId w:val="10"/>
        </w:numPr>
        <w:ind w:left="1440"/>
        <w:jc w:val="both"/>
      </w:pPr>
      <w:r>
        <w:t>Healthy Smiles to promote dental care</w:t>
      </w:r>
    </w:p>
    <w:p w14:paraId="0A058001" w14:textId="77777777" w:rsidR="004C03CE" w:rsidRDefault="004C03CE" w:rsidP="00BF6FE9">
      <w:pPr>
        <w:pStyle w:val="Default"/>
        <w:numPr>
          <w:ilvl w:val="0"/>
          <w:numId w:val="10"/>
        </w:numPr>
        <w:ind w:left="1440"/>
        <w:jc w:val="both"/>
      </w:pPr>
      <w:r>
        <w:t>Bone density testing</w:t>
      </w:r>
    </w:p>
    <w:p w14:paraId="100C55DF" w14:textId="77777777" w:rsidR="004C03CE" w:rsidRDefault="004C03CE" w:rsidP="00BF6FE9">
      <w:pPr>
        <w:pStyle w:val="Default"/>
        <w:numPr>
          <w:ilvl w:val="0"/>
          <w:numId w:val="10"/>
        </w:numPr>
        <w:ind w:left="1440"/>
        <w:jc w:val="both"/>
      </w:pPr>
      <w:r>
        <w:t>Step-Up Challenge for exercise and weight loss</w:t>
      </w:r>
    </w:p>
    <w:p w14:paraId="444705A2" w14:textId="77777777" w:rsidR="004C03CE" w:rsidRDefault="004C03CE" w:rsidP="00BF6FE9">
      <w:pPr>
        <w:pStyle w:val="Default"/>
        <w:numPr>
          <w:ilvl w:val="0"/>
          <w:numId w:val="10"/>
        </w:numPr>
        <w:ind w:left="1440"/>
        <w:jc w:val="both"/>
      </w:pPr>
      <w:r>
        <w:t>Perinatal Program, which includes the first trimester prenatal visit, post-partum visit, and first well-baby check (or third trimester visit)</w:t>
      </w:r>
    </w:p>
    <w:p w14:paraId="73AFE579" w14:textId="77777777" w:rsidR="004C03CE" w:rsidRDefault="004C03CE" w:rsidP="00BF6FE9">
      <w:pPr>
        <w:pStyle w:val="Default"/>
        <w:numPr>
          <w:ilvl w:val="0"/>
          <w:numId w:val="10"/>
        </w:numPr>
        <w:ind w:left="1440"/>
        <w:jc w:val="both"/>
      </w:pPr>
      <w:r>
        <w:t>Managing asthma through controller refills</w:t>
      </w:r>
    </w:p>
    <w:p w14:paraId="3E035A0E" w14:textId="77777777" w:rsidR="004C03CE" w:rsidRDefault="004C03CE" w:rsidP="00BF6FE9">
      <w:pPr>
        <w:pStyle w:val="Default"/>
        <w:numPr>
          <w:ilvl w:val="0"/>
          <w:numId w:val="10"/>
        </w:numPr>
        <w:ind w:left="1440"/>
        <w:jc w:val="both"/>
      </w:pPr>
      <w:r>
        <w:t xml:space="preserve">Managing diabetes through </w:t>
      </w:r>
      <w:proofErr w:type="spellStart"/>
      <w:r>
        <w:t>HbA1c</w:t>
      </w:r>
      <w:proofErr w:type="spellEnd"/>
      <w:r>
        <w:t xml:space="preserve"> and </w:t>
      </w:r>
      <w:proofErr w:type="spellStart"/>
      <w:r>
        <w:t>LDL</w:t>
      </w:r>
      <w:proofErr w:type="spellEnd"/>
      <w:r>
        <w:t xml:space="preserve"> testing</w:t>
      </w:r>
    </w:p>
    <w:p w14:paraId="21A291BF" w14:textId="77777777" w:rsidR="004C03CE" w:rsidRPr="00E81891" w:rsidRDefault="004C03CE" w:rsidP="00BF6FE9">
      <w:pPr>
        <w:pStyle w:val="Default"/>
        <w:numPr>
          <w:ilvl w:val="0"/>
          <w:numId w:val="10"/>
        </w:numPr>
        <w:ind w:left="1440"/>
        <w:jc w:val="both"/>
      </w:pPr>
      <w:r>
        <w:t>Managing schizophrenia and bi-polar disorder through regular appointments and medication management</w:t>
      </w:r>
    </w:p>
    <w:p w14:paraId="74BE0AE0" w14:textId="77777777" w:rsidR="00C313FE" w:rsidRDefault="00C313FE" w:rsidP="00371B2A">
      <w:pPr>
        <w:pStyle w:val="Default"/>
        <w:jc w:val="both"/>
        <w:rPr>
          <w:b/>
          <w:u w:val="single"/>
        </w:rPr>
      </w:pPr>
    </w:p>
    <w:p w14:paraId="39B41FF2" w14:textId="77777777" w:rsidR="004C03CE" w:rsidRDefault="004C03CE" w:rsidP="00371B2A">
      <w:pPr>
        <w:pStyle w:val="Default"/>
        <w:jc w:val="both"/>
      </w:pPr>
      <w:r>
        <w:rPr>
          <w:b/>
          <w:u w:val="single"/>
        </w:rPr>
        <w:t>Native American Advisory Meetings</w:t>
      </w:r>
    </w:p>
    <w:p w14:paraId="4E3A6865" w14:textId="77777777" w:rsidR="00C313FE" w:rsidRDefault="00C313FE" w:rsidP="00C313FE">
      <w:pPr>
        <w:pStyle w:val="Default"/>
        <w:jc w:val="both"/>
      </w:pPr>
      <w:r w:rsidRPr="00B42D94">
        <w:t xml:space="preserve">The </w:t>
      </w:r>
      <w:r>
        <w:t>Native American Technical Advisory Committee (</w:t>
      </w:r>
      <w:proofErr w:type="spellStart"/>
      <w:r w:rsidRPr="00B42D94">
        <w:t>NATAC</w:t>
      </w:r>
      <w:proofErr w:type="spellEnd"/>
      <w:r>
        <w:t>)</w:t>
      </w:r>
      <w:r w:rsidRPr="00B42D94">
        <w:t xml:space="preserve"> </w:t>
      </w:r>
      <w:r>
        <w:t>was established</w:t>
      </w:r>
      <w:r w:rsidRPr="00B42D94">
        <w:t xml:space="preserve"> in September, 2012</w:t>
      </w:r>
      <w:r>
        <w:t xml:space="preserve"> as a subcommittee to the Medicaid Advisory Committee</w:t>
      </w:r>
      <w:r w:rsidRPr="00B42D94">
        <w:t xml:space="preserve"> to give the Tribes, Pueblos, and Nations an opportunity to meet with the New Mexico Medicaid Director on a </w:t>
      </w:r>
      <w:r>
        <w:t>quarterly</w:t>
      </w:r>
      <w:r w:rsidRPr="00B42D94">
        <w:t xml:space="preserve"> basis.</w:t>
      </w:r>
      <w:r>
        <w:t xml:space="preserve"> </w:t>
      </w:r>
    </w:p>
    <w:p w14:paraId="31C3D098" w14:textId="77777777" w:rsidR="00C313FE" w:rsidRPr="00D21164" w:rsidRDefault="00C313FE" w:rsidP="00C313FE">
      <w:pPr>
        <w:pStyle w:val="Default"/>
        <w:jc w:val="both"/>
        <w:rPr>
          <w:strike/>
        </w:rPr>
      </w:pPr>
      <w:r>
        <w:t>The focus of these meetings is</w:t>
      </w:r>
      <w:r w:rsidR="00083328">
        <w:t xml:space="preserve"> to</w:t>
      </w:r>
      <w:r w:rsidR="00D74B13">
        <w:t>:</w:t>
      </w:r>
      <w:r>
        <w:t xml:space="preserve"> </w:t>
      </w:r>
    </w:p>
    <w:p w14:paraId="40263242" w14:textId="77777777" w:rsidR="00C313FE" w:rsidRPr="00B42D94" w:rsidRDefault="00083328" w:rsidP="00C313FE">
      <w:pPr>
        <w:pStyle w:val="Default"/>
        <w:numPr>
          <w:ilvl w:val="0"/>
          <w:numId w:val="14"/>
        </w:numPr>
        <w:jc w:val="both"/>
      </w:pPr>
      <w:r>
        <w:t>A</w:t>
      </w:r>
      <w:r w:rsidR="00C313FE" w:rsidRPr="00B42D94">
        <w:t xml:space="preserve">dvise the Medicaid program about how </w:t>
      </w:r>
      <w:r w:rsidR="00C313FE" w:rsidRPr="00D21164">
        <w:rPr>
          <w:strike/>
        </w:rPr>
        <w:t>to</w:t>
      </w:r>
      <w:r w:rsidR="00C313FE" w:rsidRPr="00B42D94">
        <w:t xml:space="preserve"> best to communicate with Native American Centennial Care members, work with Indian Health Service</w:t>
      </w:r>
      <w:r w:rsidR="00D74B13">
        <w:t>s</w:t>
      </w:r>
      <w:r w:rsidR="00C313FE">
        <w:t xml:space="preserve"> (</w:t>
      </w:r>
      <w:proofErr w:type="spellStart"/>
      <w:r w:rsidR="00C313FE">
        <w:t>IHS</w:t>
      </w:r>
      <w:proofErr w:type="spellEnd"/>
      <w:r w:rsidR="00C313FE">
        <w:t>)</w:t>
      </w:r>
      <w:r w:rsidR="00D74B13">
        <w:t>,</w:t>
      </w:r>
      <w:r w:rsidR="00C313FE">
        <w:t xml:space="preserve"> </w:t>
      </w:r>
      <w:r w:rsidR="00C313FE" w:rsidRPr="00B42D94">
        <w:t>Tribal</w:t>
      </w:r>
      <w:r w:rsidR="00C313FE">
        <w:t xml:space="preserve"> and urban health providers, and </w:t>
      </w:r>
      <w:r w:rsidR="00C313FE" w:rsidRPr="00B42D94">
        <w:t>to facilitate successful reimbursement while reducing administrative burden.</w:t>
      </w:r>
    </w:p>
    <w:p w14:paraId="1462DC0E" w14:textId="77777777" w:rsidR="00C313FE" w:rsidRDefault="00083328" w:rsidP="00C313FE">
      <w:pPr>
        <w:pStyle w:val="Default"/>
        <w:numPr>
          <w:ilvl w:val="0"/>
          <w:numId w:val="14"/>
        </w:numPr>
        <w:jc w:val="both"/>
      </w:pPr>
      <w:r>
        <w:t>M</w:t>
      </w:r>
      <w:r w:rsidR="00C313FE" w:rsidRPr="00B42D94">
        <w:t>eet with Tribal leaders</w:t>
      </w:r>
      <w:r w:rsidR="00C313FE">
        <w:t>, Indian Health Service</w:t>
      </w:r>
      <w:r w:rsidR="00C313FE" w:rsidRPr="00B42D94">
        <w:t xml:space="preserve"> </w:t>
      </w:r>
      <w:r w:rsidR="00C313FE">
        <w:t xml:space="preserve">and Tribal health providers </w:t>
      </w:r>
      <w:r w:rsidR="00C313FE" w:rsidRPr="00B42D94">
        <w:t>to address issues related to enrollment, access to care, and payment for services.</w:t>
      </w:r>
    </w:p>
    <w:p w14:paraId="2FA0C2E7" w14:textId="012BAC32" w:rsidR="00C313FE" w:rsidRPr="00B42D94" w:rsidRDefault="00083328" w:rsidP="00322289">
      <w:pPr>
        <w:pStyle w:val="Default"/>
        <w:numPr>
          <w:ilvl w:val="0"/>
          <w:numId w:val="14"/>
        </w:numPr>
        <w:jc w:val="both"/>
      </w:pPr>
      <w:r>
        <w:t>C</w:t>
      </w:r>
      <w:r w:rsidR="00C313FE">
        <w:t>ontinue a discussion</w:t>
      </w:r>
      <w:r w:rsidR="00C313FE" w:rsidRPr="00406BF7">
        <w:t xml:space="preserve"> </w:t>
      </w:r>
      <w:r w:rsidR="00C313FE">
        <w:t>around Centennial Care, to identify concerns and best practices, and for the committee members to make recommendations on how to best address these concerns and track the progress of our efforts.</w:t>
      </w:r>
    </w:p>
    <w:p w14:paraId="4561EC23" w14:textId="310569B4" w:rsidR="00C313FE" w:rsidRDefault="00C313FE" w:rsidP="00C313FE">
      <w:pPr>
        <w:pStyle w:val="Default"/>
        <w:jc w:val="both"/>
      </w:pPr>
      <w:r>
        <w:t xml:space="preserve">In addition, New Mexico HSD/MAD partnered with </w:t>
      </w:r>
      <w:proofErr w:type="spellStart"/>
      <w:r>
        <w:t>IHS</w:t>
      </w:r>
      <w:proofErr w:type="spellEnd"/>
      <w:r>
        <w:t>/Tribal 638 facilities to develop the</w:t>
      </w:r>
      <w:r w:rsidR="00083328">
        <w:t xml:space="preserve"> process for the</w:t>
      </w:r>
      <w:r>
        <w:t xml:space="preserve"> 100% Federal Medical Assistance Percentage (</w:t>
      </w:r>
      <w:proofErr w:type="spellStart"/>
      <w:r>
        <w:t>FMAP</w:t>
      </w:r>
      <w:proofErr w:type="spellEnd"/>
      <w:r>
        <w:t xml:space="preserve">) for services received through an </w:t>
      </w:r>
      <w:proofErr w:type="spellStart"/>
      <w:r>
        <w:t>IHS</w:t>
      </w:r>
      <w:proofErr w:type="spellEnd"/>
      <w:r>
        <w:t xml:space="preserve">/Tribal 638 facility furnished to Medicaid eligible Native Americans. </w:t>
      </w:r>
    </w:p>
    <w:p w14:paraId="58ACDAD9" w14:textId="77777777" w:rsidR="009A479D" w:rsidRDefault="009A479D" w:rsidP="009A479D">
      <w:pPr>
        <w:pStyle w:val="Default"/>
        <w:jc w:val="both"/>
      </w:pPr>
    </w:p>
    <w:p w14:paraId="7A549264" w14:textId="77777777" w:rsidR="00867944" w:rsidRPr="00D24671" w:rsidRDefault="00867944" w:rsidP="00867944">
      <w:pPr>
        <w:pStyle w:val="Default"/>
        <w:jc w:val="both"/>
      </w:pPr>
      <w:r w:rsidRPr="0053346C">
        <w:rPr>
          <w:b/>
          <w:u w:val="single"/>
        </w:rPr>
        <w:lastRenderedPageBreak/>
        <w:t>Implementing Payment Reform Projects</w:t>
      </w:r>
    </w:p>
    <w:p w14:paraId="1981052F" w14:textId="77777777" w:rsidR="00867944" w:rsidRPr="005F22A1" w:rsidRDefault="00867944" w:rsidP="00867944">
      <w:pPr>
        <w:rPr>
          <w:rFonts w:ascii="Times New Roman" w:hAnsi="Times New Roman" w:cs="Times New Roman"/>
          <w:sz w:val="24"/>
          <w:szCs w:val="24"/>
        </w:rPr>
      </w:pPr>
      <w:r w:rsidRPr="005F22A1">
        <w:rPr>
          <w:rFonts w:ascii="Times New Roman" w:hAnsi="Times New Roman" w:cs="Times New Roman"/>
          <w:sz w:val="24"/>
          <w:szCs w:val="24"/>
        </w:rPr>
        <w:t>HSD implemented payment reforms that reward providers for performance on quality and outcomes that improve members’ health. In early 2015, HSD approved 10 payment reform projects; all projects launched in July 2015, including:</w:t>
      </w:r>
    </w:p>
    <w:p w14:paraId="05B0A37C" w14:textId="77777777" w:rsidR="00867944" w:rsidRPr="005F22A1" w:rsidRDefault="00867944" w:rsidP="00867944">
      <w:pPr>
        <w:pStyle w:val="Default"/>
        <w:numPr>
          <w:ilvl w:val="0"/>
          <w:numId w:val="20"/>
        </w:numPr>
        <w:jc w:val="both"/>
      </w:pPr>
      <w:r w:rsidRPr="005F22A1">
        <w:t>Accountable Care Like Models – Performance-based model with partial payment paid as bonus for achieving quality outcomes</w:t>
      </w:r>
    </w:p>
    <w:p w14:paraId="647C837E" w14:textId="77777777" w:rsidR="00867944" w:rsidRPr="005F22A1" w:rsidRDefault="00867944" w:rsidP="00867944">
      <w:pPr>
        <w:pStyle w:val="Default"/>
        <w:numPr>
          <w:ilvl w:val="0"/>
          <w:numId w:val="20"/>
        </w:numPr>
        <w:jc w:val="both"/>
      </w:pPr>
      <w:r w:rsidRPr="005F22A1">
        <w:t>Bundled Payments for Episodes of Care – Bariatric surgery, diabetes, and maternity</w:t>
      </w:r>
    </w:p>
    <w:p w14:paraId="17CD6280" w14:textId="77777777" w:rsidR="00867944" w:rsidRPr="005F22A1" w:rsidRDefault="00867944" w:rsidP="00867944">
      <w:pPr>
        <w:pStyle w:val="Default"/>
        <w:numPr>
          <w:ilvl w:val="0"/>
          <w:numId w:val="20"/>
        </w:numPr>
        <w:jc w:val="both"/>
      </w:pPr>
      <w:r w:rsidRPr="005F22A1">
        <w:t xml:space="preserve">Patient-Centered Medical Home Shared Savings – Built upon </w:t>
      </w:r>
      <w:proofErr w:type="spellStart"/>
      <w:r w:rsidRPr="005F22A1">
        <w:t>PCMH</w:t>
      </w:r>
      <w:proofErr w:type="spellEnd"/>
      <w:r w:rsidRPr="005F22A1">
        <w:t xml:space="preserve"> model by adding shared savings targets that reward achievement of utilization and quality targets</w:t>
      </w:r>
    </w:p>
    <w:p w14:paraId="3D48874A" w14:textId="77777777" w:rsidR="00867944" w:rsidRPr="00D33989" w:rsidRDefault="00867944" w:rsidP="00322289">
      <w:pPr>
        <w:ind w:left="360"/>
      </w:pPr>
      <w:r w:rsidRPr="005F22A1">
        <w:rPr>
          <w:rFonts w:ascii="Times New Roman" w:hAnsi="Times New Roman" w:cs="Times New Roman"/>
          <w:sz w:val="24"/>
          <w:szCs w:val="24"/>
        </w:rPr>
        <w:t xml:space="preserve">HSD collaborated with the </w:t>
      </w:r>
      <w:proofErr w:type="spellStart"/>
      <w:r w:rsidRPr="005F22A1">
        <w:rPr>
          <w:rFonts w:ascii="Times New Roman" w:hAnsi="Times New Roman" w:cs="Times New Roman"/>
          <w:sz w:val="24"/>
          <w:szCs w:val="24"/>
        </w:rPr>
        <w:t>MCOs</w:t>
      </w:r>
      <w:proofErr w:type="spellEnd"/>
      <w:r w:rsidRPr="005F22A1">
        <w:rPr>
          <w:rFonts w:ascii="Times New Roman" w:hAnsi="Times New Roman" w:cs="Times New Roman"/>
          <w:sz w:val="24"/>
          <w:szCs w:val="24"/>
        </w:rPr>
        <w:t xml:space="preserve"> to develop quarterly reporting templates and agreed-upon set of metrics that included process measures and efficiency metrics.</w:t>
      </w:r>
    </w:p>
    <w:p w14:paraId="227B03F7" w14:textId="77777777" w:rsidR="005F22A1" w:rsidRDefault="00083328" w:rsidP="009A479D">
      <w:pPr>
        <w:pStyle w:val="Default"/>
        <w:jc w:val="both"/>
        <w:rPr>
          <w:b/>
          <w:u w:val="single"/>
        </w:rPr>
      </w:pPr>
      <w:proofErr w:type="spellStart"/>
      <w:r>
        <w:rPr>
          <w:b/>
          <w:u w:val="single"/>
        </w:rPr>
        <w:t>MCO</w:t>
      </w:r>
      <w:proofErr w:type="spellEnd"/>
      <w:r>
        <w:rPr>
          <w:b/>
          <w:u w:val="single"/>
        </w:rPr>
        <w:t xml:space="preserve"> </w:t>
      </w:r>
      <w:r w:rsidR="009A479D">
        <w:rPr>
          <w:b/>
          <w:u w:val="single"/>
        </w:rPr>
        <w:t>Delivery Syste</w:t>
      </w:r>
      <w:r w:rsidR="0053346C">
        <w:rPr>
          <w:b/>
          <w:u w:val="single"/>
        </w:rPr>
        <w:t>m Improvem</w:t>
      </w:r>
      <w:r w:rsidR="001D2EAF">
        <w:rPr>
          <w:b/>
          <w:u w:val="single"/>
        </w:rPr>
        <w:t xml:space="preserve">ent </w:t>
      </w:r>
      <w:r w:rsidR="003C17BA">
        <w:rPr>
          <w:b/>
          <w:u w:val="single"/>
        </w:rPr>
        <w:t xml:space="preserve">Performance </w:t>
      </w:r>
      <w:r w:rsidR="0053346C">
        <w:rPr>
          <w:b/>
          <w:u w:val="single"/>
        </w:rPr>
        <w:t xml:space="preserve">Targets for </w:t>
      </w:r>
      <w:r>
        <w:rPr>
          <w:b/>
          <w:u w:val="single"/>
        </w:rPr>
        <w:t xml:space="preserve">Calendar </w:t>
      </w:r>
      <w:r w:rsidR="0053346C">
        <w:rPr>
          <w:b/>
          <w:u w:val="single"/>
        </w:rPr>
        <w:t>Year 2</w:t>
      </w:r>
      <w:r w:rsidR="00F0001F">
        <w:rPr>
          <w:b/>
          <w:u w:val="single"/>
        </w:rPr>
        <w:t>01</w:t>
      </w:r>
      <w:r w:rsidR="003C17BA">
        <w:rPr>
          <w:b/>
          <w:u w:val="single"/>
        </w:rPr>
        <w:t>7</w:t>
      </w:r>
    </w:p>
    <w:p w14:paraId="6453EBA7" w14:textId="77777777" w:rsidR="00440C15" w:rsidRDefault="00440C15" w:rsidP="009A479D">
      <w:pPr>
        <w:pStyle w:val="Default"/>
        <w:jc w:val="both"/>
        <w:rPr>
          <w:b/>
          <w:u w:val="single"/>
        </w:rPr>
      </w:pPr>
    </w:p>
    <w:tbl>
      <w:tblPr>
        <w:tblStyle w:val="TableGrid"/>
        <w:tblW w:w="0" w:type="auto"/>
        <w:tblLook w:val="04A0" w:firstRow="1" w:lastRow="0" w:firstColumn="1" w:lastColumn="0" w:noHBand="0" w:noVBand="1"/>
      </w:tblPr>
      <w:tblGrid>
        <w:gridCol w:w="2088"/>
        <w:gridCol w:w="7038"/>
      </w:tblGrid>
      <w:tr w:rsidR="00440C15" w14:paraId="46BFCA53" w14:textId="77777777" w:rsidTr="00322289">
        <w:tc>
          <w:tcPr>
            <w:tcW w:w="2088" w:type="dxa"/>
          </w:tcPr>
          <w:p w14:paraId="0284461B" w14:textId="77777777" w:rsidR="00440C15" w:rsidRDefault="00440C15" w:rsidP="00083328">
            <w:pPr>
              <w:pStyle w:val="Default"/>
              <w:jc w:val="both"/>
              <w:rPr>
                <w:u w:val="single"/>
              </w:rPr>
            </w:pPr>
            <w:r>
              <w:rPr>
                <w:u w:val="single"/>
              </w:rPr>
              <w:t>Community Health Workers (</w:t>
            </w:r>
            <w:proofErr w:type="spellStart"/>
            <w:r>
              <w:rPr>
                <w:u w:val="single"/>
              </w:rPr>
              <w:t>CHWs</w:t>
            </w:r>
            <w:proofErr w:type="spellEnd"/>
            <w:r>
              <w:rPr>
                <w:u w:val="single"/>
              </w:rPr>
              <w:t>)</w:t>
            </w:r>
          </w:p>
        </w:tc>
        <w:tc>
          <w:tcPr>
            <w:tcW w:w="7038" w:type="dxa"/>
          </w:tcPr>
          <w:p w14:paraId="27822485" w14:textId="77777777" w:rsidR="00440C15" w:rsidRDefault="00440C15" w:rsidP="00083328">
            <w:pPr>
              <w:pStyle w:val="Default"/>
              <w:jc w:val="both"/>
              <w:rPr>
                <w:u w:val="single"/>
              </w:rPr>
            </w:pPr>
            <w:r w:rsidRPr="00E66060">
              <w:rPr>
                <w:u w:val="single"/>
              </w:rPr>
              <w:t>A minimum 10% increase in the number of members served by Community Health Workers (</w:t>
            </w:r>
            <w:proofErr w:type="spellStart"/>
            <w:r w:rsidRPr="00E66060">
              <w:rPr>
                <w:u w:val="single"/>
              </w:rPr>
              <w:t>CHWs</w:t>
            </w:r>
            <w:proofErr w:type="spellEnd"/>
            <w:r w:rsidRPr="00E66060">
              <w:rPr>
                <w:u w:val="single"/>
              </w:rPr>
              <w:t xml:space="preserve">) for care coordination activities, health education, health literacy, </w:t>
            </w:r>
            <w:proofErr w:type="gramStart"/>
            <w:r w:rsidRPr="00E66060">
              <w:rPr>
                <w:u w:val="single"/>
              </w:rPr>
              <w:t>translation</w:t>
            </w:r>
            <w:proofErr w:type="gramEnd"/>
            <w:r w:rsidRPr="00E66060">
              <w:rPr>
                <w:u w:val="single"/>
              </w:rPr>
              <w:t xml:space="preserve"> and community supports linkages in Rural, Frontier and underserved communities in Urban regions of the state above the </w:t>
            </w:r>
            <w:proofErr w:type="spellStart"/>
            <w:r>
              <w:rPr>
                <w:u w:val="single"/>
              </w:rPr>
              <w:t>MCO’s</w:t>
            </w:r>
            <w:proofErr w:type="spellEnd"/>
            <w:r w:rsidRPr="00E66060">
              <w:rPr>
                <w:u w:val="single"/>
              </w:rPr>
              <w:t xml:space="preserve"> </w:t>
            </w:r>
            <w:proofErr w:type="spellStart"/>
            <w:r w:rsidRPr="00E66060">
              <w:rPr>
                <w:u w:val="single"/>
              </w:rPr>
              <w:t>CY16</w:t>
            </w:r>
            <w:proofErr w:type="spellEnd"/>
            <w:r w:rsidRPr="00E66060">
              <w:rPr>
                <w:u w:val="single"/>
              </w:rPr>
              <w:t xml:space="preserve"> baseline number. Each </w:t>
            </w:r>
            <w:proofErr w:type="spellStart"/>
            <w:r>
              <w:rPr>
                <w:u w:val="single"/>
              </w:rPr>
              <w:t>MCO</w:t>
            </w:r>
            <w:proofErr w:type="spellEnd"/>
            <w:r w:rsidRPr="00E66060">
              <w:rPr>
                <w:u w:val="single"/>
              </w:rPr>
              <w:t xml:space="preserve"> shall submit for HSD approval a delivery system improvement performance project that is designed to increase the number of members served by Community Health Workers (</w:t>
            </w:r>
            <w:proofErr w:type="spellStart"/>
            <w:r w:rsidRPr="00E66060">
              <w:rPr>
                <w:u w:val="single"/>
              </w:rPr>
              <w:t>CHWs</w:t>
            </w:r>
            <w:proofErr w:type="spellEnd"/>
            <w:r w:rsidRPr="00E66060">
              <w:rPr>
                <w:u w:val="single"/>
              </w:rPr>
              <w:t xml:space="preserve">). The project for 2017 shall elaborate on the Contractor’s efforts to create a sustainable funding stream for </w:t>
            </w:r>
            <w:proofErr w:type="spellStart"/>
            <w:r w:rsidRPr="00E66060">
              <w:rPr>
                <w:u w:val="single"/>
              </w:rPr>
              <w:t>CHW</w:t>
            </w:r>
            <w:proofErr w:type="spellEnd"/>
            <w:r w:rsidRPr="00E66060">
              <w:rPr>
                <w:u w:val="single"/>
              </w:rPr>
              <w:t xml:space="preserve"> work and include a plan to extend such efforts to provider practices and clinics on behalf of Medicaid Members by the end of 2017. The </w:t>
            </w:r>
            <w:proofErr w:type="spellStart"/>
            <w:r>
              <w:rPr>
                <w:u w:val="single"/>
              </w:rPr>
              <w:t>MOC’s</w:t>
            </w:r>
            <w:proofErr w:type="spellEnd"/>
            <w:r w:rsidRPr="00E66060">
              <w:rPr>
                <w:u w:val="single"/>
              </w:rPr>
              <w:t xml:space="preserve"> submission should include: (1) a brief description of the project’s third year; (2) clearly stated goals for 2017 that can be validated with data; (3) a discussion of the </w:t>
            </w:r>
            <w:proofErr w:type="spellStart"/>
            <w:r w:rsidRPr="00E66060">
              <w:rPr>
                <w:u w:val="single"/>
              </w:rPr>
              <w:t>CY16</w:t>
            </w:r>
            <w:proofErr w:type="spellEnd"/>
            <w:r w:rsidRPr="00E66060">
              <w:rPr>
                <w:u w:val="single"/>
              </w:rPr>
              <w:t xml:space="preserve"> baseline from which the </w:t>
            </w:r>
            <w:proofErr w:type="spellStart"/>
            <w:r>
              <w:rPr>
                <w:u w:val="single"/>
              </w:rPr>
              <w:t>MCO</w:t>
            </w:r>
            <w:proofErr w:type="spellEnd"/>
            <w:r w:rsidRPr="00E66060">
              <w:rPr>
                <w:u w:val="single"/>
              </w:rPr>
              <w:t xml:space="preserve"> is expected to progress and the data used to determine the </w:t>
            </w:r>
            <w:proofErr w:type="spellStart"/>
            <w:r w:rsidRPr="00E66060">
              <w:rPr>
                <w:u w:val="single"/>
              </w:rPr>
              <w:t>CY16</w:t>
            </w:r>
            <w:proofErr w:type="spellEnd"/>
            <w:r w:rsidRPr="00E66060">
              <w:rPr>
                <w:u w:val="single"/>
              </w:rPr>
              <w:t xml:space="preserve"> baseline; and (4) a discussion about measuring progress toward the goals and the data used to measure progress. The </w:t>
            </w:r>
            <w:proofErr w:type="spellStart"/>
            <w:r>
              <w:rPr>
                <w:u w:val="single"/>
              </w:rPr>
              <w:t>MCO’s</w:t>
            </w:r>
            <w:proofErr w:type="spellEnd"/>
            <w:r w:rsidRPr="00E66060">
              <w:rPr>
                <w:u w:val="single"/>
              </w:rPr>
              <w:t xml:space="preserve"> plan shall be submitted to HSD by February 1, 2017 and HSD will provide feedback/approval within two (2) weeks of receipt of the </w:t>
            </w:r>
            <w:proofErr w:type="spellStart"/>
            <w:r>
              <w:rPr>
                <w:u w:val="single"/>
              </w:rPr>
              <w:t>MCO’s</w:t>
            </w:r>
            <w:proofErr w:type="spellEnd"/>
            <w:r w:rsidRPr="00E66060">
              <w:rPr>
                <w:u w:val="single"/>
              </w:rPr>
              <w:t xml:space="preserve"> plan. The </w:t>
            </w:r>
            <w:proofErr w:type="spellStart"/>
            <w:r>
              <w:rPr>
                <w:u w:val="single"/>
              </w:rPr>
              <w:t>MCO</w:t>
            </w:r>
            <w:proofErr w:type="spellEnd"/>
            <w:r w:rsidRPr="00E66060">
              <w:rPr>
                <w:u w:val="single"/>
              </w:rPr>
              <w:t xml:space="preserve"> shall provide quarterly reports to HSD of the number of </w:t>
            </w:r>
            <w:proofErr w:type="spellStart"/>
            <w:r w:rsidRPr="00E66060">
              <w:rPr>
                <w:u w:val="single"/>
              </w:rPr>
              <w:t>CHWs</w:t>
            </w:r>
            <w:proofErr w:type="spellEnd"/>
            <w:r w:rsidRPr="00E66060">
              <w:rPr>
                <w:u w:val="single"/>
              </w:rPr>
              <w:t xml:space="preserve"> hired by the </w:t>
            </w:r>
            <w:proofErr w:type="spellStart"/>
            <w:r>
              <w:rPr>
                <w:u w:val="single"/>
              </w:rPr>
              <w:t>MCO</w:t>
            </w:r>
            <w:proofErr w:type="spellEnd"/>
            <w:r w:rsidRPr="00E66060">
              <w:rPr>
                <w:u w:val="single"/>
              </w:rPr>
              <w:t xml:space="preserve"> and the number of community-based </w:t>
            </w:r>
            <w:proofErr w:type="spellStart"/>
            <w:r w:rsidRPr="00E66060">
              <w:rPr>
                <w:u w:val="single"/>
              </w:rPr>
              <w:t>CHWs</w:t>
            </w:r>
            <w:proofErr w:type="spellEnd"/>
            <w:r w:rsidRPr="00E66060">
              <w:rPr>
                <w:u w:val="single"/>
              </w:rPr>
              <w:t xml:space="preserve"> that will be supported by the CONTRACTOR for provider practices and clinics by the end of 2017, as well as an analysis of trends observed. The quarterly reports are due to HSD 30 calendar days after the quarter’s end.</w:t>
            </w:r>
          </w:p>
        </w:tc>
      </w:tr>
      <w:tr w:rsidR="00440C15" w14:paraId="1E62348F" w14:textId="77777777" w:rsidTr="00322289">
        <w:tc>
          <w:tcPr>
            <w:tcW w:w="2088" w:type="dxa"/>
          </w:tcPr>
          <w:p w14:paraId="46C1B1FC" w14:textId="77777777" w:rsidR="00440C15" w:rsidRDefault="00440C15" w:rsidP="00083328">
            <w:pPr>
              <w:pStyle w:val="Default"/>
              <w:jc w:val="both"/>
              <w:rPr>
                <w:u w:val="single"/>
              </w:rPr>
            </w:pPr>
            <w:r>
              <w:rPr>
                <w:u w:val="single"/>
              </w:rPr>
              <w:t>Telemedicine</w:t>
            </w:r>
          </w:p>
        </w:tc>
        <w:tc>
          <w:tcPr>
            <w:tcW w:w="7038" w:type="dxa"/>
          </w:tcPr>
          <w:p w14:paraId="0FD5F69A" w14:textId="77777777" w:rsidR="00440C15" w:rsidRDefault="00440C15" w:rsidP="00083328">
            <w:pPr>
              <w:pStyle w:val="Default"/>
              <w:jc w:val="both"/>
              <w:rPr>
                <w:u w:val="single"/>
              </w:rPr>
            </w:pPr>
            <w:r w:rsidRPr="00E66060">
              <w:t xml:space="preserve">A minimum of a fifteen percent (15%) increase in telemedicine “office” visits with specialists, including Behavioral Health providers, for </w:t>
            </w:r>
            <w:r w:rsidRPr="00E66060">
              <w:lastRenderedPageBreak/>
              <w:t xml:space="preserve">Members in Rural and Frontier areas. At least five percent (5%) of the increase must be visits with Behavioral Health providers. Telemedicine visits conducted at I/T/Us outside of the Albuquerque area are included. Project ECHO is not considered “telemedicine” for this delivery system improvement performance target nor is routine telemedicine, such as interpretations of radiologic exams by a radiologist at a remote site; however, may include virtual visits or e-visits. Each </w:t>
            </w:r>
            <w:proofErr w:type="spellStart"/>
            <w:r>
              <w:t>MCO</w:t>
            </w:r>
            <w:proofErr w:type="spellEnd"/>
            <w:r w:rsidRPr="00E66060">
              <w:t xml:space="preserve"> must submit its baseline using 2016 experience, and an explanation of the data used to arrive at the baseline, to HSD by February 1, 2017. The </w:t>
            </w:r>
            <w:proofErr w:type="spellStart"/>
            <w:r>
              <w:t>MCO</w:t>
            </w:r>
            <w:proofErr w:type="spellEnd"/>
            <w:r w:rsidRPr="00E66060">
              <w:t xml:space="preserve"> shall provide quarterly reports to HSD of the number of telemedicine “office” visits and an analysis of trends observed. The quarterly reports are due to HSD 30 calendar days after the quarter end.</w:t>
            </w:r>
          </w:p>
        </w:tc>
      </w:tr>
      <w:tr w:rsidR="00440C15" w14:paraId="1D8F9FAC" w14:textId="77777777" w:rsidTr="00322289">
        <w:tc>
          <w:tcPr>
            <w:tcW w:w="2088" w:type="dxa"/>
          </w:tcPr>
          <w:p w14:paraId="388717C8" w14:textId="77777777" w:rsidR="00440C15" w:rsidRDefault="00440C15" w:rsidP="00083328">
            <w:pPr>
              <w:pStyle w:val="Default"/>
              <w:jc w:val="both"/>
              <w:rPr>
                <w:u w:val="single"/>
              </w:rPr>
            </w:pPr>
            <w:r>
              <w:rPr>
                <w:u w:val="single"/>
              </w:rPr>
              <w:lastRenderedPageBreak/>
              <w:t>Patient-Centered Medical Homes</w:t>
            </w:r>
          </w:p>
        </w:tc>
        <w:tc>
          <w:tcPr>
            <w:tcW w:w="7038" w:type="dxa"/>
          </w:tcPr>
          <w:p w14:paraId="31A83896" w14:textId="77777777" w:rsidR="00440C15" w:rsidRDefault="00440C15" w:rsidP="00083328">
            <w:pPr>
              <w:pStyle w:val="Default"/>
              <w:jc w:val="both"/>
              <w:rPr>
                <w:u w:val="single"/>
              </w:rPr>
            </w:pPr>
            <w:r w:rsidRPr="00E66060">
              <w:rPr>
                <w:u w:val="single"/>
              </w:rPr>
              <w:t xml:space="preserve">A minimum of a five percent (5%) increase of the </w:t>
            </w:r>
            <w:proofErr w:type="spellStart"/>
            <w:r>
              <w:rPr>
                <w:u w:val="single"/>
              </w:rPr>
              <w:t>MCO’s</w:t>
            </w:r>
            <w:proofErr w:type="spellEnd"/>
            <w:r w:rsidRPr="00E66060">
              <w:rPr>
                <w:u w:val="single"/>
              </w:rPr>
              <w:t xml:space="preserve"> Members being served by Patient-Centered Medical Homes (including both </w:t>
            </w:r>
            <w:proofErr w:type="spellStart"/>
            <w:r w:rsidRPr="00E66060">
              <w:rPr>
                <w:u w:val="single"/>
              </w:rPr>
              <w:t>PCMHs</w:t>
            </w:r>
            <w:proofErr w:type="spellEnd"/>
            <w:r w:rsidRPr="00E66060">
              <w:rPr>
                <w:u w:val="single"/>
              </w:rPr>
              <w:t xml:space="preserve"> that have achieved </w:t>
            </w:r>
            <w:proofErr w:type="spellStart"/>
            <w:r w:rsidRPr="00E66060">
              <w:rPr>
                <w:u w:val="single"/>
              </w:rPr>
              <w:t>NCQA</w:t>
            </w:r>
            <w:proofErr w:type="spellEnd"/>
            <w:r w:rsidRPr="00E66060">
              <w:rPr>
                <w:u w:val="single"/>
              </w:rPr>
              <w:t xml:space="preserve"> accreditation and those that have not). The </w:t>
            </w:r>
            <w:proofErr w:type="spellStart"/>
            <w:r>
              <w:rPr>
                <w:u w:val="single"/>
              </w:rPr>
              <w:t>MCO</w:t>
            </w:r>
            <w:proofErr w:type="spellEnd"/>
            <w:r w:rsidRPr="00E66060">
              <w:rPr>
                <w:u w:val="single"/>
              </w:rPr>
              <w:t xml:space="preserve"> shall use 2016 experience as a basis to measure an increase in 2017, and shall submit 2016 experience to HSD by February 1, 2017. If the </w:t>
            </w:r>
            <w:proofErr w:type="spellStart"/>
            <w:r>
              <w:rPr>
                <w:u w:val="single"/>
              </w:rPr>
              <w:t>MCO</w:t>
            </w:r>
            <w:proofErr w:type="spellEnd"/>
            <w:r w:rsidRPr="00E66060">
              <w:rPr>
                <w:u w:val="single"/>
              </w:rPr>
              <w:t xml:space="preserve"> achieves a minimum of 45% of membership being served by </w:t>
            </w:r>
            <w:proofErr w:type="spellStart"/>
            <w:r w:rsidRPr="00E66060">
              <w:rPr>
                <w:u w:val="single"/>
              </w:rPr>
              <w:t>PCMHs</w:t>
            </w:r>
            <w:proofErr w:type="spellEnd"/>
            <w:r w:rsidRPr="00E66060">
              <w:rPr>
                <w:u w:val="single"/>
              </w:rPr>
              <w:t xml:space="preserve">, verified with data submission on February 1, 2017, then the </w:t>
            </w:r>
            <w:proofErr w:type="spellStart"/>
            <w:r>
              <w:rPr>
                <w:u w:val="single"/>
              </w:rPr>
              <w:t>MCO</w:t>
            </w:r>
            <w:proofErr w:type="spellEnd"/>
            <w:r w:rsidRPr="00E66060">
              <w:rPr>
                <w:u w:val="single"/>
              </w:rPr>
              <w:t xml:space="preserve"> must maintain that same minimum percentage at end of calendar year in order to meet this target.</w:t>
            </w:r>
          </w:p>
        </w:tc>
      </w:tr>
      <w:tr w:rsidR="00440C15" w14:paraId="4E561DE8" w14:textId="77777777" w:rsidTr="00322289">
        <w:tc>
          <w:tcPr>
            <w:tcW w:w="2088" w:type="dxa"/>
          </w:tcPr>
          <w:p w14:paraId="29ED4069" w14:textId="77777777" w:rsidR="00440C15" w:rsidRDefault="00440C15" w:rsidP="00083328">
            <w:pPr>
              <w:pStyle w:val="Default"/>
              <w:jc w:val="both"/>
              <w:rPr>
                <w:u w:val="single"/>
              </w:rPr>
            </w:pPr>
            <w:r>
              <w:rPr>
                <w:u w:val="single"/>
              </w:rPr>
              <w:t>Hepatitis C</w:t>
            </w:r>
          </w:p>
        </w:tc>
        <w:tc>
          <w:tcPr>
            <w:tcW w:w="7038" w:type="dxa"/>
          </w:tcPr>
          <w:p w14:paraId="0DCCB518" w14:textId="77777777" w:rsidR="00440C15" w:rsidRDefault="00440C15" w:rsidP="00083328">
            <w:pPr>
              <w:pStyle w:val="Default"/>
              <w:jc w:val="both"/>
              <w:rPr>
                <w:u w:val="single"/>
              </w:rPr>
            </w:pPr>
            <w:r w:rsidRPr="00922F87">
              <w:rPr>
                <w:u w:val="single"/>
              </w:rPr>
              <w:t xml:space="preserve">The </w:t>
            </w:r>
            <w:proofErr w:type="spellStart"/>
            <w:r>
              <w:rPr>
                <w:u w:val="single"/>
              </w:rPr>
              <w:t>MCO</w:t>
            </w:r>
            <w:proofErr w:type="spellEnd"/>
            <w:r w:rsidRPr="00922F87">
              <w:rPr>
                <w:u w:val="single"/>
              </w:rPr>
              <w:t xml:space="preserve"> shall treat at least 75% of the </w:t>
            </w:r>
            <w:proofErr w:type="spellStart"/>
            <w:r w:rsidRPr="00922F87">
              <w:rPr>
                <w:u w:val="single"/>
              </w:rPr>
              <w:t>MCO’s</w:t>
            </w:r>
            <w:proofErr w:type="spellEnd"/>
            <w:r w:rsidRPr="00922F87">
              <w:rPr>
                <w:u w:val="single"/>
              </w:rPr>
              <w:t xml:space="preserve"> target number of patients receiving Hepatitis C drug treatments (which were included in the capitated rate) during the contract period. Treatments are defined as the number of unique members who have an initial pharmacy encounter for one or more of the Hepatitis C drugs as identified in the </w:t>
            </w:r>
            <w:proofErr w:type="spellStart"/>
            <w:r>
              <w:rPr>
                <w:u w:val="single"/>
              </w:rPr>
              <w:t>MCO</w:t>
            </w:r>
            <w:proofErr w:type="spellEnd"/>
            <w:r w:rsidRPr="00922F87">
              <w:rPr>
                <w:u w:val="single"/>
              </w:rPr>
              <w:t xml:space="preserve"> payment rate signature sheets including periodic updates made by HSD to the Hepatitis C drug list. The </w:t>
            </w:r>
            <w:proofErr w:type="spellStart"/>
            <w:r>
              <w:rPr>
                <w:u w:val="single"/>
              </w:rPr>
              <w:t>MCO</w:t>
            </w:r>
            <w:proofErr w:type="spellEnd"/>
            <w:r w:rsidRPr="00922F87">
              <w:rPr>
                <w:u w:val="single"/>
              </w:rPr>
              <w:t xml:space="preserve"> must meet 75% of its target for the combined Physical Health, Medicaid Only </w:t>
            </w:r>
            <w:proofErr w:type="spellStart"/>
            <w:r w:rsidRPr="00922F87">
              <w:rPr>
                <w:u w:val="single"/>
              </w:rPr>
              <w:t>LTSS</w:t>
            </w:r>
            <w:proofErr w:type="spellEnd"/>
            <w:r w:rsidRPr="00922F87">
              <w:rPr>
                <w:u w:val="single"/>
              </w:rPr>
              <w:t xml:space="preserve">, and Other Adult Group populations for CY 2017. An individual who has started treatment and has a Hepatitis C pharmacy encounter before the end of the contract period will be counted in this measurement. Individuals who started treatment during </w:t>
            </w:r>
            <w:proofErr w:type="spellStart"/>
            <w:r w:rsidRPr="00922F87">
              <w:rPr>
                <w:u w:val="single"/>
              </w:rPr>
              <w:t>CY2016</w:t>
            </w:r>
            <w:proofErr w:type="spellEnd"/>
            <w:r w:rsidRPr="00922F87">
              <w:rPr>
                <w:u w:val="single"/>
              </w:rPr>
              <w:t xml:space="preserve"> and continue treatment into </w:t>
            </w:r>
            <w:proofErr w:type="spellStart"/>
            <w:r w:rsidRPr="00922F87">
              <w:rPr>
                <w:u w:val="single"/>
              </w:rPr>
              <w:t>CY2017</w:t>
            </w:r>
            <w:proofErr w:type="spellEnd"/>
            <w:r w:rsidRPr="00922F87">
              <w:rPr>
                <w:u w:val="single"/>
              </w:rPr>
              <w:t xml:space="preserve"> will not be considered when HSD performs this measurement. The target will be adjusted at the end of the calendar year based on the </w:t>
            </w:r>
            <w:proofErr w:type="spellStart"/>
            <w:r>
              <w:rPr>
                <w:u w:val="single"/>
              </w:rPr>
              <w:t>MCO’s</w:t>
            </w:r>
            <w:proofErr w:type="spellEnd"/>
            <w:r w:rsidRPr="00922F87">
              <w:rPr>
                <w:u w:val="single"/>
              </w:rPr>
              <w:t xml:space="preserve"> final proportion of membership in each of the three populations.</w:t>
            </w:r>
          </w:p>
          <w:p w14:paraId="2930C083" w14:textId="77777777" w:rsidR="00867944" w:rsidRDefault="00867944" w:rsidP="00083328">
            <w:pPr>
              <w:pStyle w:val="Default"/>
              <w:jc w:val="both"/>
              <w:rPr>
                <w:u w:val="single"/>
              </w:rPr>
            </w:pPr>
          </w:p>
        </w:tc>
      </w:tr>
      <w:tr w:rsidR="00440C15" w14:paraId="66004D75" w14:textId="77777777" w:rsidTr="00322289">
        <w:tc>
          <w:tcPr>
            <w:tcW w:w="2088" w:type="dxa"/>
          </w:tcPr>
          <w:p w14:paraId="58C62F96" w14:textId="77777777" w:rsidR="00440C15" w:rsidRDefault="00440C15" w:rsidP="00083328">
            <w:pPr>
              <w:pStyle w:val="Default"/>
              <w:jc w:val="both"/>
              <w:rPr>
                <w:u w:val="single"/>
              </w:rPr>
            </w:pPr>
            <w:r>
              <w:rPr>
                <w:u w:val="single"/>
              </w:rPr>
              <w:t>Value Based Purchasing</w:t>
            </w:r>
            <w:r w:rsidR="00083328">
              <w:rPr>
                <w:u w:val="single"/>
              </w:rPr>
              <w:t xml:space="preserve"> (</w:t>
            </w:r>
            <w:proofErr w:type="spellStart"/>
            <w:r w:rsidR="00083328">
              <w:rPr>
                <w:u w:val="single"/>
              </w:rPr>
              <w:t>VBP</w:t>
            </w:r>
            <w:proofErr w:type="spellEnd"/>
            <w:r w:rsidR="00083328">
              <w:rPr>
                <w:u w:val="single"/>
              </w:rPr>
              <w:t>)</w:t>
            </w:r>
          </w:p>
          <w:p w14:paraId="461C7352" w14:textId="77777777" w:rsidR="00440C15" w:rsidRDefault="00440C15" w:rsidP="00083328">
            <w:pPr>
              <w:pStyle w:val="Default"/>
              <w:jc w:val="both"/>
              <w:rPr>
                <w:u w:val="single"/>
              </w:rPr>
            </w:pPr>
          </w:p>
          <w:p w14:paraId="4C80E4DC" w14:textId="77777777" w:rsidR="00440C15" w:rsidRPr="000A6D2F" w:rsidRDefault="00440C15" w:rsidP="00083328">
            <w:pPr>
              <w:rPr>
                <w:rFonts w:ascii="Times New Roman" w:hAnsi="Times New Roman" w:cs="Times New Roman"/>
              </w:rPr>
            </w:pPr>
            <w:r w:rsidRPr="000A6D2F">
              <w:rPr>
                <w:rFonts w:ascii="Times New Roman" w:hAnsi="Times New Roman" w:cs="Times New Roman"/>
              </w:rPr>
              <w:t xml:space="preserve">Note: </w:t>
            </w:r>
            <w:r>
              <w:rPr>
                <w:rFonts w:ascii="Times New Roman" w:hAnsi="Times New Roman" w:cs="Times New Roman"/>
              </w:rPr>
              <w:t xml:space="preserve">There is a variance in contract </w:t>
            </w:r>
            <w:r>
              <w:rPr>
                <w:rFonts w:ascii="Times New Roman" w:hAnsi="Times New Roman" w:cs="Times New Roman"/>
              </w:rPr>
              <w:lastRenderedPageBreak/>
              <w:t xml:space="preserve">language for </w:t>
            </w:r>
            <w:proofErr w:type="spellStart"/>
            <w:r>
              <w:rPr>
                <w:rFonts w:ascii="Times New Roman" w:hAnsi="Times New Roman" w:cs="Times New Roman"/>
              </w:rPr>
              <w:t>UHC</w:t>
            </w:r>
            <w:proofErr w:type="spellEnd"/>
            <w:r>
              <w:rPr>
                <w:rFonts w:ascii="Times New Roman" w:hAnsi="Times New Roman" w:cs="Times New Roman"/>
              </w:rPr>
              <w:t xml:space="preserve"> only</w:t>
            </w:r>
            <w:r w:rsidRPr="000A6D2F">
              <w:rPr>
                <w:rFonts w:ascii="Times New Roman" w:hAnsi="Times New Roman" w:cs="Times New Roman"/>
              </w:rPr>
              <w:t>.</w:t>
            </w:r>
          </w:p>
        </w:tc>
        <w:tc>
          <w:tcPr>
            <w:tcW w:w="7038" w:type="dxa"/>
          </w:tcPr>
          <w:p w14:paraId="07D89E1F" w14:textId="77777777" w:rsidR="00A03B30" w:rsidRDefault="00FE1B8F" w:rsidP="00083328">
            <w:pPr>
              <w:pStyle w:val="Default"/>
              <w:jc w:val="both"/>
              <w:rPr>
                <w:u w:val="single"/>
              </w:rPr>
            </w:pPr>
            <w:r>
              <w:rPr>
                <w:b/>
                <w:u w:val="single"/>
              </w:rPr>
              <w:lastRenderedPageBreak/>
              <w:t xml:space="preserve">ALL </w:t>
            </w:r>
            <w:proofErr w:type="spellStart"/>
            <w:r>
              <w:rPr>
                <w:b/>
                <w:u w:val="single"/>
              </w:rPr>
              <w:t>MCO</w:t>
            </w:r>
            <w:r w:rsidR="00A03B30">
              <w:rPr>
                <w:b/>
                <w:u w:val="single"/>
              </w:rPr>
              <w:t>s</w:t>
            </w:r>
            <w:proofErr w:type="spellEnd"/>
            <w:r w:rsidR="00440C15" w:rsidRPr="00CC6CB2">
              <w:rPr>
                <w:b/>
                <w:u w:val="single"/>
              </w:rPr>
              <w:t>:</w:t>
            </w:r>
            <w:r w:rsidR="00440C15">
              <w:rPr>
                <w:u w:val="single"/>
              </w:rPr>
              <w:t xml:space="preserve">  </w:t>
            </w:r>
          </w:p>
          <w:p w14:paraId="1C36C8B5" w14:textId="77777777" w:rsidR="00440C15" w:rsidRDefault="00440C15" w:rsidP="00083328">
            <w:pPr>
              <w:pStyle w:val="Default"/>
              <w:jc w:val="both"/>
              <w:rPr>
                <w:u w:val="single"/>
              </w:rPr>
            </w:pPr>
            <w:r w:rsidRPr="000A6D2F">
              <w:rPr>
                <w:u w:val="single"/>
              </w:rPr>
              <w:t xml:space="preserve">The </w:t>
            </w:r>
            <w:proofErr w:type="spellStart"/>
            <w:r w:rsidRPr="000A6D2F">
              <w:rPr>
                <w:u w:val="single"/>
              </w:rPr>
              <w:t>MCO</w:t>
            </w:r>
            <w:proofErr w:type="spellEnd"/>
            <w:r w:rsidRPr="000A6D2F">
              <w:rPr>
                <w:u w:val="single"/>
              </w:rPr>
              <w:t xml:space="preserve"> must implement value based purchasing. In order to meet the target, the </w:t>
            </w:r>
            <w:proofErr w:type="spellStart"/>
            <w:r>
              <w:rPr>
                <w:u w:val="single"/>
              </w:rPr>
              <w:t>MCO</w:t>
            </w:r>
            <w:proofErr w:type="spellEnd"/>
            <w:r w:rsidRPr="000A6D2F">
              <w:rPr>
                <w:u w:val="single"/>
              </w:rPr>
              <w:t xml:space="preserve"> must have met the percentages established </w:t>
            </w:r>
            <w:r w:rsidR="00083328">
              <w:rPr>
                <w:u w:val="single"/>
              </w:rPr>
              <w:t xml:space="preserve">in </w:t>
            </w:r>
            <w:r w:rsidR="00867944">
              <w:rPr>
                <w:u w:val="single"/>
              </w:rPr>
              <w:t xml:space="preserve">the </w:t>
            </w:r>
            <w:r w:rsidR="00083328">
              <w:rPr>
                <w:u w:val="single"/>
              </w:rPr>
              <w:t xml:space="preserve">table </w:t>
            </w:r>
            <w:r w:rsidRPr="000A6D2F">
              <w:rPr>
                <w:u w:val="single"/>
              </w:rPr>
              <w:t xml:space="preserve">below in all three levels; however, </w:t>
            </w:r>
            <w:proofErr w:type="spellStart"/>
            <w:r>
              <w:rPr>
                <w:u w:val="single"/>
              </w:rPr>
              <w:t>MCOs</w:t>
            </w:r>
            <w:proofErr w:type="spellEnd"/>
            <w:r w:rsidRPr="000A6D2F">
              <w:rPr>
                <w:u w:val="single"/>
              </w:rPr>
              <w:t xml:space="preserve"> with more advanced </w:t>
            </w:r>
            <w:proofErr w:type="spellStart"/>
            <w:r w:rsidRPr="000A6D2F">
              <w:rPr>
                <w:u w:val="single"/>
              </w:rPr>
              <w:t>VBP</w:t>
            </w:r>
            <w:proofErr w:type="spellEnd"/>
            <w:r w:rsidRPr="000A6D2F">
              <w:rPr>
                <w:u w:val="single"/>
              </w:rPr>
              <w:t xml:space="preserve"> strategies may substitute higher percentages in Level 2 and/or Level 3 </w:t>
            </w:r>
            <w:r w:rsidRPr="000A6D2F">
              <w:rPr>
                <w:u w:val="single"/>
              </w:rPr>
              <w:lastRenderedPageBreak/>
              <w:t xml:space="preserve">for lower percentages in Level 1; or </w:t>
            </w:r>
            <w:proofErr w:type="spellStart"/>
            <w:r>
              <w:rPr>
                <w:u w:val="single"/>
              </w:rPr>
              <w:t>MCO</w:t>
            </w:r>
            <w:proofErr w:type="spellEnd"/>
            <w:r w:rsidRPr="000A6D2F">
              <w:rPr>
                <w:u w:val="single"/>
              </w:rPr>
              <w:t xml:space="preserve"> may substitute higher percentages in Level 3 for lower percentages or requirements in Level 1 and Level 2 as long as the overall target of 16% of payments in </w:t>
            </w:r>
            <w:proofErr w:type="spellStart"/>
            <w:r w:rsidRPr="000A6D2F">
              <w:rPr>
                <w:u w:val="single"/>
              </w:rPr>
              <w:t>VBP</w:t>
            </w:r>
            <w:proofErr w:type="spellEnd"/>
            <w:r w:rsidRPr="000A6D2F">
              <w:rPr>
                <w:u w:val="single"/>
              </w:rPr>
              <w:t xml:space="preserve"> arrangements is met for the calendar year.  </w:t>
            </w:r>
          </w:p>
          <w:p w14:paraId="7CBE7921" w14:textId="77777777" w:rsidR="00867944" w:rsidRDefault="00867944" w:rsidP="00083328">
            <w:pPr>
              <w:pStyle w:val="Default"/>
              <w:jc w:val="both"/>
              <w:rPr>
                <w:u w:val="single"/>
              </w:rPr>
            </w:pPr>
          </w:p>
          <w:p w14:paraId="08E263BA" w14:textId="77777777" w:rsidR="00440C15" w:rsidRDefault="00440C15" w:rsidP="00083328">
            <w:pPr>
              <w:pStyle w:val="Default"/>
              <w:jc w:val="both"/>
              <w:rPr>
                <w:u w:val="single"/>
              </w:rPr>
            </w:pPr>
            <w:r w:rsidRPr="008E3731">
              <w:rPr>
                <w:b/>
                <w:u w:val="single"/>
              </w:rPr>
              <w:t xml:space="preserve">All </w:t>
            </w:r>
            <w:proofErr w:type="spellStart"/>
            <w:r w:rsidRPr="008E3731">
              <w:rPr>
                <w:b/>
                <w:u w:val="single"/>
              </w:rPr>
              <w:t>MCOs</w:t>
            </w:r>
            <w:proofErr w:type="spellEnd"/>
            <w:r w:rsidRPr="008E3731">
              <w:rPr>
                <w:b/>
                <w:u w:val="single"/>
              </w:rPr>
              <w:t>:</w:t>
            </w:r>
          </w:p>
          <w:tbl>
            <w:tblPr>
              <w:tblStyle w:val="TableGrid2"/>
              <w:tblW w:w="5400" w:type="dxa"/>
              <w:tblLook w:val="04A0" w:firstRow="1" w:lastRow="0" w:firstColumn="1" w:lastColumn="0" w:noHBand="0" w:noVBand="1"/>
            </w:tblPr>
            <w:tblGrid>
              <w:gridCol w:w="1800"/>
              <w:gridCol w:w="1800"/>
              <w:gridCol w:w="1800"/>
            </w:tblGrid>
            <w:tr w:rsidR="00440C15" w:rsidRPr="00F45F2F" w14:paraId="07EA2E06" w14:textId="77777777" w:rsidTr="00083328">
              <w:trPr>
                <w:cantSplit/>
                <w:tblHeader/>
              </w:trPr>
              <w:tc>
                <w:tcPr>
                  <w:tcW w:w="1800" w:type="dxa"/>
                </w:tcPr>
                <w:p w14:paraId="70187E5B" w14:textId="77777777" w:rsidR="00440C15" w:rsidRPr="00855AD7" w:rsidRDefault="00440C15" w:rsidP="00083328">
                  <w:pPr>
                    <w:jc w:val="center"/>
                  </w:pPr>
                  <w:proofErr w:type="spellStart"/>
                  <w:r w:rsidRPr="00855AD7">
                    <w:rPr>
                      <w:b/>
                      <w:bCs/>
                    </w:rPr>
                    <w:t>VBP</w:t>
                  </w:r>
                  <w:proofErr w:type="spellEnd"/>
                  <w:r w:rsidRPr="00855AD7">
                    <w:rPr>
                      <w:b/>
                      <w:bCs/>
                    </w:rPr>
                    <w:t xml:space="preserve"> LEVEL 1</w:t>
                  </w:r>
                </w:p>
              </w:tc>
              <w:tc>
                <w:tcPr>
                  <w:tcW w:w="1800" w:type="dxa"/>
                </w:tcPr>
                <w:p w14:paraId="76B45434" w14:textId="77777777" w:rsidR="00440C15" w:rsidRPr="00855AD7" w:rsidRDefault="00440C15" w:rsidP="00083328">
                  <w:pPr>
                    <w:jc w:val="center"/>
                  </w:pPr>
                  <w:proofErr w:type="spellStart"/>
                  <w:r w:rsidRPr="00855AD7">
                    <w:rPr>
                      <w:b/>
                      <w:bCs/>
                    </w:rPr>
                    <w:t>VBP</w:t>
                  </w:r>
                  <w:proofErr w:type="spellEnd"/>
                  <w:r w:rsidRPr="00855AD7">
                    <w:rPr>
                      <w:b/>
                      <w:bCs/>
                    </w:rPr>
                    <w:t xml:space="preserve"> LEVEL 2</w:t>
                  </w:r>
                </w:p>
              </w:tc>
              <w:tc>
                <w:tcPr>
                  <w:tcW w:w="1800" w:type="dxa"/>
                </w:tcPr>
                <w:p w14:paraId="7F0F4580" w14:textId="77777777" w:rsidR="00440C15" w:rsidRPr="00855AD7" w:rsidRDefault="00440C15" w:rsidP="00083328">
                  <w:pPr>
                    <w:jc w:val="center"/>
                  </w:pPr>
                  <w:proofErr w:type="spellStart"/>
                  <w:r w:rsidRPr="00855AD7">
                    <w:rPr>
                      <w:b/>
                      <w:bCs/>
                    </w:rPr>
                    <w:t>VBP</w:t>
                  </w:r>
                  <w:proofErr w:type="spellEnd"/>
                  <w:r w:rsidRPr="00855AD7">
                    <w:rPr>
                      <w:b/>
                      <w:bCs/>
                    </w:rPr>
                    <w:t xml:space="preserve"> LEVEL 3</w:t>
                  </w:r>
                </w:p>
              </w:tc>
            </w:tr>
            <w:tr w:rsidR="00440C15" w:rsidRPr="00F45F2F" w14:paraId="6DB981C5" w14:textId="77777777" w:rsidTr="00083328">
              <w:trPr>
                <w:cantSplit/>
                <w:tblHeader/>
              </w:trPr>
              <w:tc>
                <w:tcPr>
                  <w:tcW w:w="1800" w:type="dxa"/>
                </w:tcPr>
                <w:p w14:paraId="3DF44CA9" w14:textId="77777777" w:rsidR="00440C15" w:rsidRPr="00855AD7" w:rsidRDefault="00440C15" w:rsidP="00083328">
                  <w:r w:rsidRPr="00855AD7">
                    <w:rPr>
                      <w:bCs/>
                    </w:rPr>
                    <w:t xml:space="preserve">A minimum of 5% of all </w:t>
                  </w:r>
                  <w:proofErr w:type="spellStart"/>
                  <w:r>
                    <w:rPr>
                      <w:bCs/>
                    </w:rPr>
                    <w:t>MCO</w:t>
                  </w:r>
                  <w:proofErr w:type="spellEnd"/>
                  <w:r w:rsidRPr="00855AD7">
                    <w:rPr>
                      <w:bCs/>
                    </w:rPr>
                    <w:t xml:space="preserve"> provider payments* for dates of service between January 1, 2017 and December 31, 2017 will meet the following criteria:</w:t>
                  </w:r>
                </w:p>
              </w:tc>
              <w:tc>
                <w:tcPr>
                  <w:tcW w:w="1800" w:type="dxa"/>
                </w:tcPr>
                <w:p w14:paraId="602DB6E0" w14:textId="77777777" w:rsidR="00440C15" w:rsidRPr="00855AD7" w:rsidRDefault="00440C15" w:rsidP="00083328">
                  <w:r w:rsidRPr="00855AD7">
                    <w:rPr>
                      <w:bCs/>
                    </w:rPr>
                    <w:t xml:space="preserve">A minimum of 8% of all </w:t>
                  </w:r>
                  <w:proofErr w:type="spellStart"/>
                  <w:r>
                    <w:rPr>
                      <w:bCs/>
                    </w:rPr>
                    <w:t>MCO</w:t>
                  </w:r>
                  <w:proofErr w:type="spellEnd"/>
                  <w:r w:rsidRPr="00855AD7">
                    <w:rPr>
                      <w:bCs/>
                    </w:rPr>
                    <w:t xml:space="preserve"> provider payments* for dates of service between January 1, 2017 and December 31, 2017 will meet the following criteria:</w:t>
                  </w:r>
                </w:p>
              </w:tc>
              <w:tc>
                <w:tcPr>
                  <w:tcW w:w="1800" w:type="dxa"/>
                </w:tcPr>
                <w:p w14:paraId="54CD9427" w14:textId="77777777" w:rsidR="00440C15" w:rsidRPr="00855AD7" w:rsidRDefault="00440C15" w:rsidP="00083328">
                  <w:r w:rsidRPr="00855AD7">
                    <w:rPr>
                      <w:bCs/>
                    </w:rPr>
                    <w:t xml:space="preserve">A minimum of 3% of all </w:t>
                  </w:r>
                  <w:proofErr w:type="spellStart"/>
                  <w:r>
                    <w:rPr>
                      <w:bCs/>
                    </w:rPr>
                    <w:t>MCO</w:t>
                  </w:r>
                  <w:proofErr w:type="spellEnd"/>
                  <w:r w:rsidRPr="00855AD7">
                    <w:rPr>
                      <w:bCs/>
                    </w:rPr>
                    <w:t xml:space="preserve"> provider payments</w:t>
                  </w:r>
                  <w:r>
                    <w:rPr>
                      <w:bCs/>
                    </w:rPr>
                    <w:t>*</w:t>
                  </w:r>
                  <w:r w:rsidRPr="00855AD7">
                    <w:rPr>
                      <w:bCs/>
                    </w:rPr>
                    <w:t xml:space="preserve"> for dates of service between January 1, 2017 and December 31, 2017 will meet the following criteria:</w:t>
                  </w:r>
                </w:p>
              </w:tc>
            </w:tr>
            <w:tr w:rsidR="00440C15" w:rsidRPr="00F45F2F" w14:paraId="2AFA157A" w14:textId="77777777" w:rsidTr="00083328">
              <w:trPr>
                <w:cantSplit/>
                <w:tblHeader/>
              </w:trPr>
              <w:tc>
                <w:tcPr>
                  <w:tcW w:w="1800" w:type="dxa"/>
                </w:tcPr>
                <w:p w14:paraId="00B44819" w14:textId="77777777" w:rsidR="00440C15" w:rsidRPr="00EB3B36" w:rsidRDefault="00440C15" w:rsidP="00083328">
                  <w:pPr>
                    <w:pStyle w:val="ListParagraph"/>
                    <w:numPr>
                      <w:ilvl w:val="0"/>
                      <w:numId w:val="29"/>
                    </w:numPr>
                    <w:spacing w:before="40" w:after="40"/>
                    <w:ind w:left="168" w:hanging="180"/>
                    <w:outlineLvl w:val="4"/>
                    <w:rPr>
                      <w:noProof/>
                    </w:rPr>
                  </w:pPr>
                  <w:r w:rsidRPr="00EB3B36">
                    <w:rPr>
                      <w:noProof/>
                    </w:rPr>
                    <w:t xml:space="preserve">Fee schedule based with bonus or incentives and/or withhold (at least 5% of provider payment)—available when outcome/quality scores meet agreed-upon targets. </w:t>
                  </w:r>
                </w:p>
                <w:p w14:paraId="1F3E9F5B" w14:textId="77777777" w:rsidR="00440C15" w:rsidRPr="00855AD7" w:rsidRDefault="00440C15" w:rsidP="00083328">
                  <w:pPr>
                    <w:spacing w:before="40" w:after="40"/>
                    <w:ind w:left="168"/>
                    <w:outlineLvl w:val="4"/>
                    <w:rPr>
                      <w:noProof/>
                    </w:rPr>
                  </w:pPr>
                </w:p>
              </w:tc>
              <w:tc>
                <w:tcPr>
                  <w:tcW w:w="1800" w:type="dxa"/>
                </w:tcPr>
                <w:p w14:paraId="40742958" w14:textId="77777777" w:rsidR="00440C15" w:rsidRPr="00855AD7" w:rsidRDefault="00440C15" w:rsidP="00083328">
                  <w:pPr>
                    <w:pStyle w:val="ListParagraph"/>
                    <w:numPr>
                      <w:ilvl w:val="0"/>
                      <w:numId w:val="29"/>
                    </w:numPr>
                    <w:spacing w:before="40" w:after="40"/>
                    <w:ind w:left="168" w:hanging="180"/>
                    <w:outlineLvl w:val="4"/>
                    <w:rPr>
                      <w:noProof/>
                    </w:rPr>
                  </w:pPr>
                  <w:r w:rsidRPr="00855AD7">
                    <w:rPr>
                      <w:noProof/>
                    </w:rPr>
                    <w:t>Fee schedule based, upside-only shared savings-- available when outcome/ quality scores meet agreed-upon targets (may include downside risk), and</w:t>
                  </w:r>
                </w:p>
                <w:p w14:paraId="4362FEA8" w14:textId="77777777" w:rsidR="00440C15" w:rsidRPr="00855AD7" w:rsidRDefault="00440C15" w:rsidP="00083328">
                  <w:pPr>
                    <w:pStyle w:val="ListParagraph"/>
                    <w:numPr>
                      <w:ilvl w:val="0"/>
                      <w:numId w:val="29"/>
                    </w:numPr>
                    <w:spacing w:before="40" w:after="40"/>
                    <w:ind w:left="168" w:hanging="180"/>
                    <w:outlineLvl w:val="4"/>
                    <w:rPr>
                      <w:noProof/>
                    </w:rPr>
                  </w:pPr>
                  <w:r w:rsidRPr="00855AD7">
                    <w:rPr>
                      <w:noProof/>
                    </w:rPr>
                    <w:t>Two or more bundled payments for episodes of care.</w:t>
                  </w:r>
                </w:p>
              </w:tc>
              <w:tc>
                <w:tcPr>
                  <w:tcW w:w="1800" w:type="dxa"/>
                </w:tcPr>
                <w:p w14:paraId="47D0418E" w14:textId="77777777" w:rsidR="00440C15" w:rsidRPr="00855AD7" w:rsidRDefault="00440C15" w:rsidP="00083328">
                  <w:pPr>
                    <w:pStyle w:val="ListParagraph"/>
                    <w:numPr>
                      <w:ilvl w:val="0"/>
                      <w:numId w:val="29"/>
                    </w:numPr>
                    <w:spacing w:before="40" w:after="40"/>
                    <w:ind w:left="168" w:hanging="180"/>
                    <w:outlineLvl w:val="4"/>
                    <w:rPr>
                      <w:noProof/>
                    </w:rPr>
                  </w:pPr>
                  <w:r w:rsidRPr="00855AD7">
                    <w:rPr>
                      <w:noProof/>
                    </w:rPr>
                    <w:t xml:space="preserve">Fee schedule based or capitation with risk sharing (at least 5% for upside and downside risk); and/or </w:t>
                  </w:r>
                </w:p>
                <w:p w14:paraId="1B6FCC37" w14:textId="77777777" w:rsidR="00440C15" w:rsidRPr="00855AD7" w:rsidRDefault="00440C15" w:rsidP="00083328">
                  <w:pPr>
                    <w:pStyle w:val="ListParagraph"/>
                    <w:numPr>
                      <w:ilvl w:val="0"/>
                      <w:numId w:val="29"/>
                    </w:numPr>
                    <w:spacing w:before="40" w:after="40"/>
                    <w:ind w:left="168" w:hanging="180"/>
                    <w:outlineLvl w:val="4"/>
                    <w:rPr>
                      <w:noProof/>
                    </w:rPr>
                  </w:pPr>
                  <w:r w:rsidRPr="00855AD7">
                    <w:rPr>
                      <w:noProof/>
                    </w:rPr>
                    <w:t xml:space="preserve">Global or capitated payments with full risk. </w:t>
                  </w:r>
                </w:p>
              </w:tc>
            </w:tr>
          </w:tbl>
          <w:p w14:paraId="5716A556" w14:textId="77777777" w:rsidR="00440C15" w:rsidRPr="00E66060" w:rsidRDefault="00440C15" w:rsidP="00083328">
            <w:pPr>
              <w:pStyle w:val="Default"/>
              <w:jc w:val="both"/>
              <w:rPr>
                <w:u w:val="single"/>
              </w:rPr>
            </w:pPr>
            <w:r w:rsidRPr="00E66060">
              <w:rPr>
                <w:u w:val="single"/>
              </w:rPr>
              <w:t xml:space="preserve">Additional requirements for </w:t>
            </w:r>
            <w:proofErr w:type="spellStart"/>
            <w:r w:rsidRPr="00E66060">
              <w:rPr>
                <w:u w:val="single"/>
              </w:rPr>
              <w:t>VBP</w:t>
            </w:r>
            <w:proofErr w:type="spellEnd"/>
            <w:r w:rsidRPr="00E66060">
              <w:rPr>
                <w:u w:val="single"/>
              </w:rPr>
              <w:t xml:space="preserve"> in CY 2017</w:t>
            </w:r>
          </w:p>
          <w:p w14:paraId="1AD1C10A" w14:textId="77777777" w:rsidR="00440C15" w:rsidRPr="00083328" w:rsidRDefault="00440C15" w:rsidP="00B3495C">
            <w:pPr>
              <w:pStyle w:val="Default"/>
              <w:numPr>
                <w:ilvl w:val="0"/>
                <w:numId w:val="30"/>
              </w:numPr>
              <w:jc w:val="both"/>
              <w:rPr>
                <w:u w:val="single"/>
              </w:rPr>
            </w:pPr>
            <w:r w:rsidRPr="00E66060">
              <w:rPr>
                <w:u w:val="single"/>
              </w:rPr>
              <w:t xml:space="preserve">At least 3% of the overall 16% in </w:t>
            </w:r>
            <w:proofErr w:type="spellStart"/>
            <w:r w:rsidRPr="00E66060">
              <w:rPr>
                <w:u w:val="single"/>
              </w:rPr>
              <w:t>VBP</w:t>
            </w:r>
            <w:proofErr w:type="spellEnd"/>
            <w:r w:rsidRPr="00E66060">
              <w:rPr>
                <w:u w:val="single"/>
              </w:rPr>
              <w:t xml:space="preserve"> contracting must be with high volume hospitals and require readmission reduction targets of at least 5% of the hospital’s baseline.</w:t>
            </w:r>
          </w:p>
          <w:p w14:paraId="7BE76C94" w14:textId="77777777" w:rsidR="00440C15" w:rsidRPr="00083328" w:rsidRDefault="00440C15" w:rsidP="00B3495C">
            <w:pPr>
              <w:pStyle w:val="Default"/>
              <w:numPr>
                <w:ilvl w:val="0"/>
                <w:numId w:val="30"/>
              </w:numPr>
              <w:jc w:val="both"/>
              <w:rPr>
                <w:u w:val="single"/>
              </w:rPr>
            </w:pPr>
            <w:proofErr w:type="spellStart"/>
            <w:r>
              <w:rPr>
                <w:u w:val="single"/>
              </w:rPr>
              <w:t>MCO</w:t>
            </w:r>
            <w:proofErr w:type="spellEnd"/>
            <w:r w:rsidRPr="00E66060">
              <w:rPr>
                <w:u w:val="single"/>
              </w:rPr>
              <w:t xml:space="preserve"> must include payments to behavioral health community providers in calculating the percentage of overall spend in its </w:t>
            </w:r>
            <w:proofErr w:type="spellStart"/>
            <w:r w:rsidRPr="00E66060">
              <w:rPr>
                <w:u w:val="single"/>
              </w:rPr>
              <w:t>VBP</w:t>
            </w:r>
            <w:proofErr w:type="spellEnd"/>
            <w:r w:rsidRPr="00E66060">
              <w:rPr>
                <w:u w:val="single"/>
              </w:rPr>
              <w:t xml:space="preserve"> arrangements.</w:t>
            </w:r>
          </w:p>
          <w:p w14:paraId="783D62B2" w14:textId="77777777" w:rsidR="00440C15" w:rsidRPr="000A6D2F" w:rsidRDefault="00440C15" w:rsidP="00083328">
            <w:pPr>
              <w:pStyle w:val="Default"/>
              <w:jc w:val="both"/>
              <w:rPr>
                <w:u w:val="single"/>
              </w:rPr>
            </w:pPr>
            <w:r w:rsidRPr="00E66060">
              <w:rPr>
                <w:u w:val="single"/>
              </w:rPr>
              <w:t>*</w:t>
            </w:r>
            <w:proofErr w:type="spellStart"/>
            <w:r w:rsidRPr="00E66060">
              <w:rPr>
                <w:u w:val="single"/>
              </w:rPr>
              <w:t>MCOs</w:t>
            </w:r>
            <w:proofErr w:type="spellEnd"/>
            <w:r w:rsidRPr="00E66060">
              <w:rPr>
                <w:u w:val="single"/>
              </w:rPr>
              <w:t xml:space="preserve"> may exclude provider payments for dually-eligible members from the calculation.</w:t>
            </w:r>
          </w:p>
        </w:tc>
      </w:tr>
    </w:tbl>
    <w:p w14:paraId="34A87904" w14:textId="77777777" w:rsidR="00440C15" w:rsidRDefault="00440C15" w:rsidP="009A479D">
      <w:pPr>
        <w:pStyle w:val="Default"/>
        <w:jc w:val="both"/>
        <w:rPr>
          <w:u w:val="single"/>
        </w:rPr>
      </w:pPr>
    </w:p>
    <w:p w14:paraId="3E375D6E" w14:textId="77777777" w:rsidR="009A479D" w:rsidRDefault="009A479D" w:rsidP="009A479D">
      <w:pPr>
        <w:pStyle w:val="Default"/>
        <w:jc w:val="both"/>
        <w:rPr>
          <w:u w:val="single"/>
        </w:rPr>
      </w:pPr>
    </w:p>
    <w:p w14:paraId="6D0809AB" w14:textId="77777777" w:rsidR="00E81891" w:rsidRDefault="00E81891" w:rsidP="00371B2A">
      <w:pPr>
        <w:pStyle w:val="Default"/>
        <w:jc w:val="both"/>
      </w:pPr>
    </w:p>
    <w:p w14:paraId="6867D49D" w14:textId="77777777" w:rsidR="00440C15" w:rsidRPr="00E81891" w:rsidRDefault="00440C15" w:rsidP="00371B2A">
      <w:pPr>
        <w:pStyle w:val="Default"/>
        <w:jc w:val="both"/>
      </w:pPr>
    </w:p>
    <w:sectPr w:rsidR="00440C15" w:rsidRPr="00E81891" w:rsidSect="00C33671">
      <w:headerReference w:type="default" r:id="rId9"/>
      <w:footerReference w:type="default" r:id="rId10"/>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98B8A" w14:textId="77777777" w:rsidR="00F011F1" w:rsidRDefault="00F011F1" w:rsidP="00C33671">
      <w:pPr>
        <w:spacing w:after="0" w:line="240" w:lineRule="auto"/>
      </w:pPr>
      <w:r>
        <w:separator/>
      </w:r>
    </w:p>
  </w:endnote>
  <w:endnote w:type="continuationSeparator" w:id="0">
    <w:p w14:paraId="60EDFE39" w14:textId="77777777" w:rsidR="00F011F1" w:rsidRDefault="00F011F1" w:rsidP="00C3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830F7" w14:textId="77777777" w:rsidR="00083328" w:rsidRPr="0090737D" w:rsidRDefault="00083328" w:rsidP="009E6157">
    <w:pPr>
      <w:pStyle w:val="Footer"/>
      <w:jc w:val="right"/>
      <w:rPr>
        <w:rFonts w:ascii="Times New Roman" w:hAnsi="Times New Roman" w:cs="Times New Roman"/>
        <w:sz w:val="20"/>
        <w:szCs w:val="20"/>
      </w:rPr>
    </w:pPr>
    <w:r w:rsidRPr="0090737D">
      <w:rPr>
        <w:rFonts w:ascii="Times New Roman" w:hAnsi="Times New Roman" w:cs="Times New Roman"/>
        <w:sz w:val="20"/>
        <w:szCs w:val="20"/>
      </w:rPr>
      <w:t xml:space="preserve">Page </w:t>
    </w:r>
    <w:sdt>
      <w:sdtPr>
        <w:rPr>
          <w:rFonts w:ascii="Times New Roman" w:hAnsi="Times New Roman" w:cs="Times New Roman"/>
          <w:sz w:val="20"/>
          <w:szCs w:val="20"/>
        </w:rPr>
        <w:id w:val="-976674146"/>
        <w:docPartObj>
          <w:docPartGallery w:val="Page Numbers (Bottom of Page)"/>
          <w:docPartUnique/>
        </w:docPartObj>
      </w:sdtPr>
      <w:sdtEndPr>
        <w:rPr>
          <w:noProof/>
        </w:rPr>
      </w:sdtEndPr>
      <w:sdtContent>
        <w:r w:rsidRPr="0090737D">
          <w:rPr>
            <w:rFonts w:ascii="Times New Roman" w:hAnsi="Times New Roman" w:cs="Times New Roman"/>
            <w:sz w:val="20"/>
            <w:szCs w:val="20"/>
          </w:rPr>
          <w:fldChar w:fldCharType="begin"/>
        </w:r>
        <w:r w:rsidRPr="0090737D">
          <w:rPr>
            <w:rFonts w:ascii="Times New Roman" w:hAnsi="Times New Roman" w:cs="Times New Roman"/>
            <w:sz w:val="20"/>
            <w:szCs w:val="20"/>
          </w:rPr>
          <w:instrText xml:space="preserve"> PAGE   \* MERGEFORMAT </w:instrText>
        </w:r>
        <w:r w:rsidRPr="0090737D">
          <w:rPr>
            <w:rFonts w:ascii="Times New Roman" w:hAnsi="Times New Roman" w:cs="Times New Roman"/>
            <w:sz w:val="20"/>
            <w:szCs w:val="20"/>
          </w:rPr>
          <w:fldChar w:fldCharType="separate"/>
        </w:r>
        <w:r w:rsidR="00312786">
          <w:rPr>
            <w:rFonts w:ascii="Times New Roman" w:hAnsi="Times New Roman" w:cs="Times New Roman"/>
            <w:noProof/>
            <w:sz w:val="20"/>
            <w:szCs w:val="20"/>
          </w:rPr>
          <w:t>9</w:t>
        </w:r>
        <w:r w:rsidRPr="0090737D">
          <w:rPr>
            <w:rFonts w:ascii="Times New Roman" w:hAnsi="Times New Roman" w:cs="Times New Roman"/>
            <w:noProof/>
            <w:sz w:val="20"/>
            <w:szCs w:val="20"/>
          </w:rPr>
          <w:fldChar w:fldCharType="end"/>
        </w:r>
      </w:sdtContent>
    </w:sdt>
  </w:p>
  <w:p w14:paraId="450B3837" w14:textId="77777777" w:rsidR="00083328" w:rsidRPr="0090737D" w:rsidRDefault="00083328">
    <w:pPr>
      <w:pStyle w:val="Footer"/>
      <w:rPr>
        <w:sz w:val="18"/>
        <w:szCs w:val="18"/>
      </w:rPr>
    </w:pPr>
  </w:p>
  <w:p w14:paraId="5A787091" w14:textId="77777777" w:rsidR="00083328" w:rsidRDefault="000833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23944" w14:textId="77777777" w:rsidR="00F011F1" w:rsidRDefault="00F011F1" w:rsidP="00C33671">
      <w:pPr>
        <w:spacing w:after="0" w:line="240" w:lineRule="auto"/>
      </w:pPr>
      <w:r>
        <w:separator/>
      </w:r>
    </w:p>
  </w:footnote>
  <w:footnote w:type="continuationSeparator" w:id="0">
    <w:p w14:paraId="4A988199" w14:textId="77777777" w:rsidR="00F011F1" w:rsidRDefault="00F011F1" w:rsidP="00C3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941CC" w14:textId="77777777" w:rsidR="00083328" w:rsidRPr="00027059" w:rsidRDefault="00083328" w:rsidP="00027059">
    <w:pPr>
      <w:pStyle w:val="Header"/>
      <w:jc w:val="right"/>
      <w:rPr>
        <w:noProof/>
      </w:rPr>
    </w:pPr>
    <w:r>
      <w:rPr>
        <w:noProof/>
      </w:rPr>
      <w:drawing>
        <wp:anchor distT="0" distB="0" distL="114300" distR="114300" simplePos="0" relativeHeight="251658240" behindDoc="0" locked="0" layoutInCell="1" allowOverlap="1" wp14:anchorId="54F49CBA" wp14:editId="472D80D5">
          <wp:simplePos x="0" y="0"/>
          <wp:positionH relativeFrom="column">
            <wp:posOffset>175260</wp:posOffset>
          </wp:positionH>
          <wp:positionV relativeFrom="paragraph">
            <wp:posOffset>-30480</wp:posOffset>
          </wp:positionV>
          <wp:extent cx="2132965" cy="92202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2965" cy="922020"/>
                  </a:xfrm>
                  <a:prstGeom prst="rect">
                    <a:avLst/>
                  </a:prstGeom>
                  <a:noFill/>
                  <a:ln>
                    <a:noFill/>
                  </a:ln>
                </pic:spPr>
              </pic:pic>
            </a:graphicData>
          </a:graphic>
        </wp:anchor>
      </w:drawing>
    </w:r>
    <w:r w:rsidRPr="00027059">
      <w:rPr>
        <w:noProof/>
      </w:rPr>
      <w:t>Human Services Department</w:t>
    </w:r>
  </w:p>
  <w:p w14:paraId="143E2A98" w14:textId="77777777" w:rsidR="00083328" w:rsidRPr="00027059" w:rsidRDefault="00083328" w:rsidP="00027059">
    <w:pPr>
      <w:pStyle w:val="Header"/>
      <w:jc w:val="right"/>
      <w:rPr>
        <w:noProof/>
      </w:rPr>
    </w:pPr>
    <w:r w:rsidRPr="00027059">
      <w:rPr>
        <w:noProof/>
      </w:rPr>
      <w:t>Medical Assistance Division</w:t>
    </w:r>
  </w:p>
  <w:p w14:paraId="2FF4C9E2" w14:textId="77777777" w:rsidR="00083328" w:rsidRPr="00027059" w:rsidRDefault="00083328" w:rsidP="00027059">
    <w:pPr>
      <w:pStyle w:val="Header"/>
      <w:jc w:val="right"/>
      <w:rPr>
        <w:noProof/>
      </w:rPr>
    </w:pPr>
    <w:r>
      <w:rPr>
        <w:noProof/>
      </w:rPr>
      <w:t>Centennial Care</w:t>
    </w:r>
  </w:p>
  <w:p w14:paraId="5CF1B393" w14:textId="77777777" w:rsidR="00083328" w:rsidRPr="00027059" w:rsidRDefault="00083328" w:rsidP="00027059">
    <w:pPr>
      <w:pStyle w:val="Header"/>
      <w:jc w:val="right"/>
      <w:rPr>
        <w:noProof/>
      </w:rPr>
    </w:pPr>
    <w:r w:rsidRPr="00027059">
      <w:rPr>
        <w:noProof/>
      </w:rPr>
      <w:t>Fact Sheet</w:t>
    </w:r>
    <w:r>
      <w:rPr>
        <w:noProof/>
      </w:rPr>
      <w:t xml:space="preserve"> 2017</w:t>
    </w:r>
  </w:p>
  <w:p w14:paraId="3F82EB64" w14:textId="77777777" w:rsidR="00083328" w:rsidRDefault="00083328" w:rsidP="00027059">
    <w:pPr>
      <w:pStyle w:val="Header"/>
      <w:ind w:left="270"/>
      <w:jc w:val="both"/>
      <w:rPr>
        <w:rFonts w:ascii="Times New Roman" w:hAnsi="Times New Roman" w:cs="Times New Roman"/>
      </w:rPr>
    </w:pPr>
  </w:p>
  <w:p w14:paraId="1C8D1EC4" w14:textId="77777777" w:rsidR="00083328" w:rsidRDefault="00083328" w:rsidP="00027059">
    <w:pPr>
      <w:pStyle w:val="Header"/>
      <w:ind w:left="270"/>
      <w:jc w:val="both"/>
      <w:rPr>
        <w:rFonts w:ascii="Times New Roman" w:hAnsi="Times New Roman" w:cs="Times New Roman"/>
      </w:rPr>
    </w:pPr>
  </w:p>
  <w:p w14:paraId="6CE20AF5" w14:textId="77777777" w:rsidR="00083328" w:rsidRDefault="000833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1AA9"/>
    <w:multiLevelType w:val="hybridMultilevel"/>
    <w:tmpl w:val="57804CB2"/>
    <w:lvl w:ilvl="0" w:tplc="457E43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6936F06"/>
    <w:multiLevelType w:val="hybridMultilevel"/>
    <w:tmpl w:val="07C68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D315A6"/>
    <w:multiLevelType w:val="hybridMultilevel"/>
    <w:tmpl w:val="4B3C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87C9E"/>
    <w:multiLevelType w:val="hybridMultilevel"/>
    <w:tmpl w:val="C2C0D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6137E"/>
    <w:multiLevelType w:val="hybridMultilevel"/>
    <w:tmpl w:val="E986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F4F77"/>
    <w:multiLevelType w:val="hybridMultilevel"/>
    <w:tmpl w:val="BAAA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01D2B"/>
    <w:multiLevelType w:val="hybridMultilevel"/>
    <w:tmpl w:val="ECB689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4539ED"/>
    <w:multiLevelType w:val="hybridMultilevel"/>
    <w:tmpl w:val="F572DE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D7D05D7"/>
    <w:multiLevelType w:val="hybridMultilevel"/>
    <w:tmpl w:val="5146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A93BC8"/>
    <w:multiLevelType w:val="hybridMultilevel"/>
    <w:tmpl w:val="6570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CD2E78"/>
    <w:multiLevelType w:val="hybridMultilevel"/>
    <w:tmpl w:val="F3E05B50"/>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1">
    <w:nsid w:val="2D375650"/>
    <w:multiLevelType w:val="hybridMultilevel"/>
    <w:tmpl w:val="FEC2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875339"/>
    <w:multiLevelType w:val="hybridMultilevel"/>
    <w:tmpl w:val="C11A9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0266D0"/>
    <w:multiLevelType w:val="hybridMultilevel"/>
    <w:tmpl w:val="FFA02436"/>
    <w:lvl w:ilvl="0" w:tplc="92589E3C">
      <w:start w:val="1"/>
      <w:numFmt w:val="bullet"/>
      <w:lvlText w:val="•"/>
      <w:lvlJc w:val="left"/>
      <w:pPr>
        <w:tabs>
          <w:tab w:val="num" w:pos="720"/>
        </w:tabs>
        <w:ind w:left="720" w:hanging="360"/>
      </w:pPr>
      <w:rPr>
        <w:rFonts w:ascii="Arial" w:hAnsi="Arial" w:hint="default"/>
      </w:rPr>
    </w:lvl>
    <w:lvl w:ilvl="1" w:tplc="F836D5B6">
      <w:numFmt w:val="bullet"/>
      <w:lvlText w:val=""/>
      <w:lvlJc w:val="left"/>
      <w:pPr>
        <w:tabs>
          <w:tab w:val="num" w:pos="1440"/>
        </w:tabs>
        <w:ind w:left="1440" w:hanging="360"/>
      </w:pPr>
      <w:rPr>
        <w:rFonts w:ascii="Wingdings" w:hAnsi="Wingdings" w:hint="default"/>
      </w:rPr>
    </w:lvl>
    <w:lvl w:ilvl="2" w:tplc="20943062" w:tentative="1">
      <w:start w:val="1"/>
      <w:numFmt w:val="bullet"/>
      <w:lvlText w:val="•"/>
      <w:lvlJc w:val="left"/>
      <w:pPr>
        <w:tabs>
          <w:tab w:val="num" w:pos="2160"/>
        </w:tabs>
        <w:ind w:left="2160" w:hanging="360"/>
      </w:pPr>
      <w:rPr>
        <w:rFonts w:ascii="Arial" w:hAnsi="Arial" w:hint="default"/>
      </w:rPr>
    </w:lvl>
    <w:lvl w:ilvl="3" w:tplc="82347F4C" w:tentative="1">
      <w:start w:val="1"/>
      <w:numFmt w:val="bullet"/>
      <w:lvlText w:val="•"/>
      <w:lvlJc w:val="left"/>
      <w:pPr>
        <w:tabs>
          <w:tab w:val="num" w:pos="2880"/>
        </w:tabs>
        <w:ind w:left="2880" w:hanging="360"/>
      </w:pPr>
      <w:rPr>
        <w:rFonts w:ascii="Arial" w:hAnsi="Arial" w:hint="default"/>
      </w:rPr>
    </w:lvl>
    <w:lvl w:ilvl="4" w:tplc="2A9033E4" w:tentative="1">
      <w:start w:val="1"/>
      <w:numFmt w:val="bullet"/>
      <w:lvlText w:val="•"/>
      <w:lvlJc w:val="left"/>
      <w:pPr>
        <w:tabs>
          <w:tab w:val="num" w:pos="3600"/>
        </w:tabs>
        <w:ind w:left="3600" w:hanging="360"/>
      </w:pPr>
      <w:rPr>
        <w:rFonts w:ascii="Arial" w:hAnsi="Arial" w:hint="default"/>
      </w:rPr>
    </w:lvl>
    <w:lvl w:ilvl="5" w:tplc="2B68C260" w:tentative="1">
      <w:start w:val="1"/>
      <w:numFmt w:val="bullet"/>
      <w:lvlText w:val="•"/>
      <w:lvlJc w:val="left"/>
      <w:pPr>
        <w:tabs>
          <w:tab w:val="num" w:pos="4320"/>
        </w:tabs>
        <w:ind w:left="4320" w:hanging="360"/>
      </w:pPr>
      <w:rPr>
        <w:rFonts w:ascii="Arial" w:hAnsi="Arial" w:hint="default"/>
      </w:rPr>
    </w:lvl>
    <w:lvl w:ilvl="6" w:tplc="7A64D9F4" w:tentative="1">
      <w:start w:val="1"/>
      <w:numFmt w:val="bullet"/>
      <w:lvlText w:val="•"/>
      <w:lvlJc w:val="left"/>
      <w:pPr>
        <w:tabs>
          <w:tab w:val="num" w:pos="5040"/>
        </w:tabs>
        <w:ind w:left="5040" w:hanging="360"/>
      </w:pPr>
      <w:rPr>
        <w:rFonts w:ascii="Arial" w:hAnsi="Arial" w:hint="default"/>
      </w:rPr>
    </w:lvl>
    <w:lvl w:ilvl="7" w:tplc="13B8D1F0" w:tentative="1">
      <w:start w:val="1"/>
      <w:numFmt w:val="bullet"/>
      <w:lvlText w:val="•"/>
      <w:lvlJc w:val="left"/>
      <w:pPr>
        <w:tabs>
          <w:tab w:val="num" w:pos="5760"/>
        </w:tabs>
        <w:ind w:left="5760" w:hanging="360"/>
      </w:pPr>
      <w:rPr>
        <w:rFonts w:ascii="Arial" w:hAnsi="Arial" w:hint="default"/>
      </w:rPr>
    </w:lvl>
    <w:lvl w:ilvl="8" w:tplc="82E630D6" w:tentative="1">
      <w:start w:val="1"/>
      <w:numFmt w:val="bullet"/>
      <w:lvlText w:val="•"/>
      <w:lvlJc w:val="left"/>
      <w:pPr>
        <w:tabs>
          <w:tab w:val="num" w:pos="6480"/>
        </w:tabs>
        <w:ind w:left="6480" w:hanging="360"/>
      </w:pPr>
      <w:rPr>
        <w:rFonts w:ascii="Arial" w:hAnsi="Arial" w:hint="default"/>
      </w:rPr>
    </w:lvl>
  </w:abstractNum>
  <w:abstractNum w:abstractNumId="14">
    <w:nsid w:val="340F5A93"/>
    <w:multiLevelType w:val="hybridMultilevel"/>
    <w:tmpl w:val="0C0C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2D3A9F"/>
    <w:multiLevelType w:val="hybridMultilevel"/>
    <w:tmpl w:val="3814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5945BE"/>
    <w:multiLevelType w:val="hybridMultilevel"/>
    <w:tmpl w:val="EED0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E55F46"/>
    <w:multiLevelType w:val="hybridMultilevel"/>
    <w:tmpl w:val="CA14EC7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D9A7E88"/>
    <w:multiLevelType w:val="hybridMultilevel"/>
    <w:tmpl w:val="4082118E"/>
    <w:lvl w:ilvl="0" w:tplc="04090001">
      <w:start w:val="1"/>
      <w:numFmt w:val="bullet"/>
      <w:lvlText w:val=""/>
      <w:lvlJc w:val="left"/>
      <w:pPr>
        <w:ind w:left="720" w:hanging="360"/>
      </w:pPr>
      <w:rPr>
        <w:rFonts w:ascii="Symbol" w:hAnsi="Symbol" w:hint="default"/>
      </w:rPr>
    </w:lvl>
    <w:lvl w:ilvl="1" w:tplc="6E4E3AB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550CA7"/>
    <w:multiLevelType w:val="hybridMultilevel"/>
    <w:tmpl w:val="48EA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F55355"/>
    <w:multiLevelType w:val="hybridMultilevel"/>
    <w:tmpl w:val="38DA69E0"/>
    <w:lvl w:ilvl="0" w:tplc="28443426">
      <w:start w:val="1"/>
      <w:numFmt w:val="bullet"/>
      <w:lvlText w:val=""/>
      <w:lvlJc w:val="left"/>
      <w:pPr>
        <w:tabs>
          <w:tab w:val="num" w:pos="720"/>
        </w:tabs>
        <w:ind w:left="720" w:hanging="360"/>
      </w:pPr>
      <w:rPr>
        <w:rFonts w:ascii="Wingdings" w:hAnsi="Wingdings" w:hint="default"/>
      </w:rPr>
    </w:lvl>
    <w:lvl w:ilvl="1" w:tplc="19728B68" w:tentative="1">
      <w:start w:val="1"/>
      <w:numFmt w:val="bullet"/>
      <w:lvlText w:val=""/>
      <w:lvlJc w:val="left"/>
      <w:pPr>
        <w:tabs>
          <w:tab w:val="num" w:pos="1440"/>
        </w:tabs>
        <w:ind w:left="1440" w:hanging="360"/>
      </w:pPr>
      <w:rPr>
        <w:rFonts w:ascii="Wingdings" w:hAnsi="Wingdings" w:hint="default"/>
      </w:rPr>
    </w:lvl>
    <w:lvl w:ilvl="2" w:tplc="8F808F98">
      <w:start w:val="1"/>
      <w:numFmt w:val="bullet"/>
      <w:lvlText w:val=""/>
      <w:lvlJc w:val="left"/>
      <w:pPr>
        <w:tabs>
          <w:tab w:val="num" w:pos="2160"/>
        </w:tabs>
        <w:ind w:left="2160" w:hanging="360"/>
      </w:pPr>
      <w:rPr>
        <w:rFonts w:ascii="Wingdings" w:hAnsi="Wingdings" w:hint="default"/>
      </w:rPr>
    </w:lvl>
    <w:lvl w:ilvl="3" w:tplc="5E8227EE" w:tentative="1">
      <w:start w:val="1"/>
      <w:numFmt w:val="bullet"/>
      <w:lvlText w:val=""/>
      <w:lvlJc w:val="left"/>
      <w:pPr>
        <w:tabs>
          <w:tab w:val="num" w:pos="2880"/>
        </w:tabs>
        <w:ind w:left="2880" w:hanging="360"/>
      </w:pPr>
      <w:rPr>
        <w:rFonts w:ascii="Wingdings" w:hAnsi="Wingdings" w:hint="default"/>
      </w:rPr>
    </w:lvl>
    <w:lvl w:ilvl="4" w:tplc="3A7E43D6" w:tentative="1">
      <w:start w:val="1"/>
      <w:numFmt w:val="bullet"/>
      <w:lvlText w:val=""/>
      <w:lvlJc w:val="left"/>
      <w:pPr>
        <w:tabs>
          <w:tab w:val="num" w:pos="3600"/>
        </w:tabs>
        <w:ind w:left="3600" w:hanging="360"/>
      </w:pPr>
      <w:rPr>
        <w:rFonts w:ascii="Wingdings" w:hAnsi="Wingdings" w:hint="default"/>
      </w:rPr>
    </w:lvl>
    <w:lvl w:ilvl="5" w:tplc="E9A27444" w:tentative="1">
      <w:start w:val="1"/>
      <w:numFmt w:val="bullet"/>
      <w:lvlText w:val=""/>
      <w:lvlJc w:val="left"/>
      <w:pPr>
        <w:tabs>
          <w:tab w:val="num" w:pos="4320"/>
        </w:tabs>
        <w:ind w:left="4320" w:hanging="360"/>
      </w:pPr>
      <w:rPr>
        <w:rFonts w:ascii="Wingdings" w:hAnsi="Wingdings" w:hint="default"/>
      </w:rPr>
    </w:lvl>
    <w:lvl w:ilvl="6" w:tplc="B59C9FC0" w:tentative="1">
      <w:start w:val="1"/>
      <w:numFmt w:val="bullet"/>
      <w:lvlText w:val=""/>
      <w:lvlJc w:val="left"/>
      <w:pPr>
        <w:tabs>
          <w:tab w:val="num" w:pos="5040"/>
        </w:tabs>
        <w:ind w:left="5040" w:hanging="360"/>
      </w:pPr>
      <w:rPr>
        <w:rFonts w:ascii="Wingdings" w:hAnsi="Wingdings" w:hint="default"/>
      </w:rPr>
    </w:lvl>
    <w:lvl w:ilvl="7" w:tplc="F98E7E7E" w:tentative="1">
      <w:start w:val="1"/>
      <w:numFmt w:val="bullet"/>
      <w:lvlText w:val=""/>
      <w:lvlJc w:val="left"/>
      <w:pPr>
        <w:tabs>
          <w:tab w:val="num" w:pos="5760"/>
        </w:tabs>
        <w:ind w:left="5760" w:hanging="360"/>
      </w:pPr>
      <w:rPr>
        <w:rFonts w:ascii="Wingdings" w:hAnsi="Wingdings" w:hint="default"/>
      </w:rPr>
    </w:lvl>
    <w:lvl w:ilvl="8" w:tplc="0B10D724" w:tentative="1">
      <w:start w:val="1"/>
      <w:numFmt w:val="bullet"/>
      <w:lvlText w:val=""/>
      <w:lvlJc w:val="left"/>
      <w:pPr>
        <w:tabs>
          <w:tab w:val="num" w:pos="6480"/>
        </w:tabs>
        <w:ind w:left="6480" w:hanging="360"/>
      </w:pPr>
      <w:rPr>
        <w:rFonts w:ascii="Wingdings" w:hAnsi="Wingdings" w:hint="default"/>
      </w:rPr>
    </w:lvl>
  </w:abstractNum>
  <w:abstractNum w:abstractNumId="21">
    <w:nsid w:val="470B2B75"/>
    <w:multiLevelType w:val="hybridMultilevel"/>
    <w:tmpl w:val="0634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9B3F38"/>
    <w:multiLevelType w:val="hybridMultilevel"/>
    <w:tmpl w:val="00F4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AF5BDD"/>
    <w:multiLevelType w:val="hybridMultilevel"/>
    <w:tmpl w:val="3EBAC8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2E5F93"/>
    <w:multiLevelType w:val="hybridMultilevel"/>
    <w:tmpl w:val="87AC30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BD1B46"/>
    <w:multiLevelType w:val="hybridMultilevel"/>
    <w:tmpl w:val="7478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234BB3"/>
    <w:multiLevelType w:val="hybridMultilevel"/>
    <w:tmpl w:val="9768F3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C160F9B"/>
    <w:multiLevelType w:val="hybridMultilevel"/>
    <w:tmpl w:val="CDB2E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C4177B"/>
    <w:multiLevelType w:val="hybridMultilevel"/>
    <w:tmpl w:val="BCD2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1402363"/>
    <w:multiLevelType w:val="hybridMultilevel"/>
    <w:tmpl w:val="AB08E95E"/>
    <w:lvl w:ilvl="0" w:tplc="536253CA">
      <w:start w:val="1"/>
      <w:numFmt w:val="bullet"/>
      <w:lvlText w:val=""/>
      <w:lvlJc w:val="left"/>
      <w:pPr>
        <w:tabs>
          <w:tab w:val="num" w:pos="720"/>
        </w:tabs>
        <w:ind w:left="720" w:hanging="360"/>
      </w:pPr>
      <w:rPr>
        <w:rFonts w:ascii="Wingdings 3" w:hAnsi="Wingdings 3" w:hint="default"/>
      </w:rPr>
    </w:lvl>
    <w:lvl w:ilvl="1" w:tplc="DED8816C" w:tentative="1">
      <w:start w:val="1"/>
      <w:numFmt w:val="bullet"/>
      <w:lvlText w:val=""/>
      <w:lvlJc w:val="left"/>
      <w:pPr>
        <w:tabs>
          <w:tab w:val="num" w:pos="1440"/>
        </w:tabs>
        <w:ind w:left="1440" w:hanging="360"/>
      </w:pPr>
      <w:rPr>
        <w:rFonts w:ascii="Wingdings 3" w:hAnsi="Wingdings 3" w:hint="default"/>
      </w:rPr>
    </w:lvl>
    <w:lvl w:ilvl="2" w:tplc="970AD63E" w:tentative="1">
      <w:start w:val="1"/>
      <w:numFmt w:val="bullet"/>
      <w:lvlText w:val=""/>
      <w:lvlJc w:val="left"/>
      <w:pPr>
        <w:tabs>
          <w:tab w:val="num" w:pos="2160"/>
        </w:tabs>
        <w:ind w:left="2160" w:hanging="360"/>
      </w:pPr>
      <w:rPr>
        <w:rFonts w:ascii="Wingdings 3" w:hAnsi="Wingdings 3" w:hint="default"/>
      </w:rPr>
    </w:lvl>
    <w:lvl w:ilvl="3" w:tplc="B6240F04" w:tentative="1">
      <w:start w:val="1"/>
      <w:numFmt w:val="bullet"/>
      <w:lvlText w:val=""/>
      <w:lvlJc w:val="left"/>
      <w:pPr>
        <w:tabs>
          <w:tab w:val="num" w:pos="2880"/>
        </w:tabs>
        <w:ind w:left="2880" w:hanging="360"/>
      </w:pPr>
      <w:rPr>
        <w:rFonts w:ascii="Wingdings 3" w:hAnsi="Wingdings 3" w:hint="default"/>
      </w:rPr>
    </w:lvl>
    <w:lvl w:ilvl="4" w:tplc="880C93D0" w:tentative="1">
      <w:start w:val="1"/>
      <w:numFmt w:val="bullet"/>
      <w:lvlText w:val=""/>
      <w:lvlJc w:val="left"/>
      <w:pPr>
        <w:tabs>
          <w:tab w:val="num" w:pos="3600"/>
        </w:tabs>
        <w:ind w:left="3600" w:hanging="360"/>
      </w:pPr>
      <w:rPr>
        <w:rFonts w:ascii="Wingdings 3" w:hAnsi="Wingdings 3" w:hint="default"/>
      </w:rPr>
    </w:lvl>
    <w:lvl w:ilvl="5" w:tplc="F5184FF2" w:tentative="1">
      <w:start w:val="1"/>
      <w:numFmt w:val="bullet"/>
      <w:lvlText w:val=""/>
      <w:lvlJc w:val="left"/>
      <w:pPr>
        <w:tabs>
          <w:tab w:val="num" w:pos="4320"/>
        </w:tabs>
        <w:ind w:left="4320" w:hanging="360"/>
      </w:pPr>
      <w:rPr>
        <w:rFonts w:ascii="Wingdings 3" w:hAnsi="Wingdings 3" w:hint="default"/>
      </w:rPr>
    </w:lvl>
    <w:lvl w:ilvl="6" w:tplc="496AF5E8" w:tentative="1">
      <w:start w:val="1"/>
      <w:numFmt w:val="bullet"/>
      <w:lvlText w:val=""/>
      <w:lvlJc w:val="left"/>
      <w:pPr>
        <w:tabs>
          <w:tab w:val="num" w:pos="5040"/>
        </w:tabs>
        <w:ind w:left="5040" w:hanging="360"/>
      </w:pPr>
      <w:rPr>
        <w:rFonts w:ascii="Wingdings 3" w:hAnsi="Wingdings 3" w:hint="default"/>
      </w:rPr>
    </w:lvl>
    <w:lvl w:ilvl="7" w:tplc="78B2D856" w:tentative="1">
      <w:start w:val="1"/>
      <w:numFmt w:val="bullet"/>
      <w:lvlText w:val=""/>
      <w:lvlJc w:val="left"/>
      <w:pPr>
        <w:tabs>
          <w:tab w:val="num" w:pos="5760"/>
        </w:tabs>
        <w:ind w:left="5760" w:hanging="360"/>
      </w:pPr>
      <w:rPr>
        <w:rFonts w:ascii="Wingdings 3" w:hAnsi="Wingdings 3" w:hint="default"/>
      </w:rPr>
    </w:lvl>
    <w:lvl w:ilvl="8" w:tplc="F48E8BF2" w:tentative="1">
      <w:start w:val="1"/>
      <w:numFmt w:val="bullet"/>
      <w:lvlText w:val=""/>
      <w:lvlJc w:val="left"/>
      <w:pPr>
        <w:tabs>
          <w:tab w:val="num" w:pos="6480"/>
        </w:tabs>
        <w:ind w:left="6480" w:hanging="360"/>
      </w:pPr>
      <w:rPr>
        <w:rFonts w:ascii="Wingdings 3" w:hAnsi="Wingdings 3" w:hint="default"/>
      </w:rPr>
    </w:lvl>
  </w:abstractNum>
  <w:abstractNum w:abstractNumId="30">
    <w:nsid w:val="6C0969DD"/>
    <w:multiLevelType w:val="hybridMultilevel"/>
    <w:tmpl w:val="19AA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60751B"/>
    <w:multiLevelType w:val="hybridMultilevel"/>
    <w:tmpl w:val="99F02AF6"/>
    <w:lvl w:ilvl="0" w:tplc="A63E27A8">
      <w:start w:val="1"/>
      <w:numFmt w:val="bullet"/>
      <w:lvlText w:val=""/>
      <w:lvlJc w:val="left"/>
      <w:pPr>
        <w:tabs>
          <w:tab w:val="num" w:pos="720"/>
        </w:tabs>
        <w:ind w:left="720" w:hanging="360"/>
      </w:pPr>
      <w:rPr>
        <w:rFonts w:ascii="Wingdings 3" w:hAnsi="Wingdings 3" w:hint="default"/>
      </w:rPr>
    </w:lvl>
    <w:lvl w:ilvl="1" w:tplc="AE4E8B66">
      <w:start w:val="1"/>
      <w:numFmt w:val="bullet"/>
      <w:lvlText w:val=""/>
      <w:lvlJc w:val="left"/>
      <w:pPr>
        <w:tabs>
          <w:tab w:val="num" w:pos="1440"/>
        </w:tabs>
        <w:ind w:left="1440" w:hanging="360"/>
      </w:pPr>
      <w:rPr>
        <w:rFonts w:ascii="Wingdings 3" w:hAnsi="Wingdings 3" w:hint="default"/>
      </w:rPr>
    </w:lvl>
    <w:lvl w:ilvl="2" w:tplc="5200597E">
      <w:numFmt w:val="bullet"/>
      <w:lvlText w:val=""/>
      <w:lvlJc w:val="left"/>
      <w:pPr>
        <w:tabs>
          <w:tab w:val="num" w:pos="2160"/>
        </w:tabs>
        <w:ind w:left="2160" w:hanging="360"/>
      </w:pPr>
      <w:rPr>
        <w:rFonts w:ascii="Wingdings" w:hAnsi="Wingdings" w:hint="default"/>
      </w:rPr>
    </w:lvl>
    <w:lvl w:ilvl="3" w:tplc="9A88E930" w:tentative="1">
      <w:start w:val="1"/>
      <w:numFmt w:val="bullet"/>
      <w:lvlText w:val=""/>
      <w:lvlJc w:val="left"/>
      <w:pPr>
        <w:tabs>
          <w:tab w:val="num" w:pos="2880"/>
        </w:tabs>
        <w:ind w:left="2880" w:hanging="360"/>
      </w:pPr>
      <w:rPr>
        <w:rFonts w:ascii="Wingdings 3" w:hAnsi="Wingdings 3" w:hint="default"/>
      </w:rPr>
    </w:lvl>
    <w:lvl w:ilvl="4" w:tplc="9BE66600" w:tentative="1">
      <w:start w:val="1"/>
      <w:numFmt w:val="bullet"/>
      <w:lvlText w:val=""/>
      <w:lvlJc w:val="left"/>
      <w:pPr>
        <w:tabs>
          <w:tab w:val="num" w:pos="3600"/>
        </w:tabs>
        <w:ind w:left="3600" w:hanging="360"/>
      </w:pPr>
      <w:rPr>
        <w:rFonts w:ascii="Wingdings 3" w:hAnsi="Wingdings 3" w:hint="default"/>
      </w:rPr>
    </w:lvl>
    <w:lvl w:ilvl="5" w:tplc="98CA1DE0" w:tentative="1">
      <w:start w:val="1"/>
      <w:numFmt w:val="bullet"/>
      <w:lvlText w:val=""/>
      <w:lvlJc w:val="left"/>
      <w:pPr>
        <w:tabs>
          <w:tab w:val="num" w:pos="4320"/>
        </w:tabs>
        <w:ind w:left="4320" w:hanging="360"/>
      </w:pPr>
      <w:rPr>
        <w:rFonts w:ascii="Wingdings 3" w:hAnsi="Wingdings 3" w:hint="default"/>
      </w:rPr>
    </w:lvl>
    <w:lvl w:ilvl="6" w:tplc="A16E76FC" w:tentative="1">
      <w:start w:val="1"/>
      <w:numFmt w:val="bullet"/>
      <w:lvlText w:val=""/>
      <w:lvlJc w:val="left"/>
      <w:pPr>
        <w:tabs>
          <w:tab w:val="num" w:pos="5040"/>
        </w:tabs>
        <w:ind w:left="5040" w:hanging="360"/>
      </w:pPr>
      <w:rPr>
        <w:rFonts w:ascii="Wingdings 3" w:hAnsi="Wingdings 3" w:hint="default"/>
      </w:rPr>
    </w:lvl>
    <w:lvl w:ilvl="7" w:tplc="062C268A" w:tentative="1">
      <w:start w:val="1"/>
      <w:numFmt w:val="bullet"/>
      <w:lvlText w:val=""/>
      <w:lvlJc w:val="left"/>
      <w:pPr>
        <w:tabs>
          <w:tab w:val="num" w:pos="5760"/>
        </w:tabs>
        <w:ind w:left="5760" w:hanging="360"/>
      </w:pPr>
      <w:rPr>
        <w:rFonts w:ascii="Wingdings 3" w:hAnsi="Wingdings 3" w:hint="default"/>
      </w:rPr>
    </w:lvl>
    <w:lvl w:ilvl="8" w:tplc="D71CCE0C" w:tentative="1">
      <w:start w:val="1"/>
      <w:numFmt w:val="bullet"/>
      <w:lvlText w:val=""/>
      <w:lvlJc w:val="left"/>
      <w:pPr>
        <w:tabs>
          <w:tab w:val="num" w:pos="6480"/>
        </w:tabs>
        <w:ind w:left="6480" w:hanging="360"/>
      </w:pPr>
      <w:rPr>
        <w:rFonts w:ascii="Wingdings 3" w:hAnsi="Wingdings 3" w:hint="default"/>
      </w:rPr>
    </w:lvl>
  </w:abstractNum>
  <w:abstractNum w:abstractNumId="32">
    <w:nsid w:val="73607ACB"/>
    <w:multiLevelType w:val="hybridMultilevel"/>
    <w:tmpl w:val="329A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F05742"/>
    <w:multiLevelType w:val="hybridMultilevel"/>
    <w:tmpl w:val="5490A6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5F7562F"/>
    <w:multiLevelType w:val="hybridMultilevel"/>
    <w:tmpl w:val="31782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113FD5"/>
    <w:multiLevelType w:val="hybridMultilevel"/>
    <w:tmpl w:val="1762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682597"/>
    <w:multiLevelType w:val="hybridMultilevel"/>
    <w:tmpl w:val="9E362654"/>
    <w:lvl w:ilvl="0" w:tplc="D866606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506CF8"/>
    <w:multiLevelType w:val="hybridMultilevel"/>
    <w:tmpl w:val="87043AF8"/>
    <w:lvl w:ilvl="0" w:tplc="8620F53E">
      <w:start w:val="1"/>
      <w:numFmt w:val="bullet"/>
      <w:lvlText w:val=""/>
      <w:lvlJc w:val="left"/>
      <w:pPr>
        <w:tabs>
          <w:tab w:val="num" w:pos="720"/>
        </w:tabs>
        <w:ind w:left="720" w:hanging="360"/>
      </w:pPr>
      <w:rPr>
        <w:rFonts w:ascii="Wingdings 3" w:hAnsi="Wingdings 3" w:hint="default"/>
      </w:rPr>
    </w:lvl>
    <w:lvl w:ilvl="1" w:tplc="14264B64">
      <w:start w:val="1"/>
      <w:numFmt w:val="bullet"/>
      <w:lvlText w:val=""/>
      <w:lvlJc w:val="left"/>
      <w:pPr>
        <w:tabs>
          <w:tab w:val="num" w:pos="1440"/>
        </w:tabs>
        <w:ind w:left="1440" w:hanging="360"/>
      </w:pPr>
      <w:rPr>
        <w:rFonts w:ascii="Wingdings 3" w:hAnsi="Wingdings 3" w:hint="default"/>
      </w:rPr>
    </w:lvl>
    <w:lvl w:ilvl="2" w:tplc="96DC1FD6" w:tentative="1">
      <w:start w:val="1"/>
      <w:numFmt w:val="bullet"/>
      <w:lvlText w:val=""/>
      <w:lvlJc w:val="left"/>
      <w:pPr>
        <w:tabs>
          <w:tab w:val="num" w:pos="2160"/>
        </w:tabs>
        <w:ind w:left="2160" w:hanging="360"/>
      </w:pPr>
      <w:rPr>
        <w:rFonts w:ascii="Wingdings 3" w:hAnsi="Wingdings 3" w:hint="default"/>
      </w:rPr>
    </w:lvl>
    <w:lvl w:ilvl="3" w:tplc="CF0A42CE" w:tentative="1">
      <w:start w:val="1"/>
      <w:numFmt w:val="bullet"/>
      <w:lvlText w:val=""/>
      <w:lvlJc w:val="left"/>
      <w:pPr>
        <w:tabs>
          <w:tab w:val="num" w:pos="2880"/>
        </w:tabs>
        <w:ind w:left="2880" w:hanging="360"/>
      </w:pPr>
      <w:rPr>
        <w:rFonts w:ascii="Wingdings 3" w:hAnsi="Wingdings 3" w:hint="default"/>
      </w:rPr>
    </w:lvl>
    <w:lvl w:ilvl="4" w:tplc="6EB8E216" w:tentative="1">
      <w:start w:val="1"/>
      <w:numFmt w:val="bullet"/>
      <w:lvlText w:val=""/>
      <w:lvlJc w:val="left"/>
      <w:pPr>
        <w:tabs>
          <w:tab w:val="num" w:pos="3600"/>
        </w:tabs>
        <w:ind w:left="3600" w:hanging="360"/>
      </w:pPr>
      <w:rPr>
        <w:rFonts w:ascii="Wingdings 3" w:hAnsi="Wingdings 3" w:hint="default"/>
      </w:rPr>
    </w:lvl>
    <w:lvl w:ilvl="5" w:tplc="21F06994" w:tentative="1">
      <w:start w:val="1"/>
      <w:numFmt w:val="bullet"/>
      <w:lvlText w:val=""/>
      <w:lvlJc w:val="left"/>
      <w:pPr>
        <w:tabs>
          <w:tab w:val="num" w:pos="4320"/>
        </w:tabs>
        <w:ind w:left="4320" w:hanging="360"/>
      </w:pPr>
      <w:rPr>
        <w:rFonts w:ascii="Wingdings 3" w:hAnsi="Wingdings 3" w:hint="default"/>
      </w:rPr>
    </w:lvl>
    <w:lvl w:ilvl="6" w:tplc="C72ED2F8" w:tentative="1">
      <w:start w:val="1"/>
      <w:numFmt w:val="bullet"/>
      <w:lvlText w:val=""/>
      <w:lvlJc w:val="left"/>
      <w:pPr>
        <w:tabs>
          <w:tab w:val="num" w:pos="5040"/>
        </w:tabs>
        <w:ind w:left="5040" w:hanging="360"/>
      </w:pPr>
      <w:rPr>
        <w:rFonts w:ascii="Wingdings 3" w:hAnsi="Wingdings 3" w:hint="default"/>
      </w:rPr>
    </w:lvl>
    <w:lvl w:ilvl="7" w:tplc="2FF6396E" w:tentative="1">
      <w:start w:val="1"/>
      <w:numFmt w:val="bullet"/>
      <w:lvlText w:val=""/>
      <w:lvlJc w:val="left"/>
      <w:pPr>
        <w:tabs>
          <w:tab w:val="num" w:pos="5760"/>
        </w:tabs>
        <w:ind w:left="5760" w:hanging="360"/>
      </w:pPr>
      <w:rPr>
        <w:rFonts w:ascii="Wingdings 3" w:hAnsi="Wingdings 3" w:hint="default"/>
      </w:rPr>
    </w:lvl>
    <w:lvl w:ilvl="8" w:tplc="92C036E8" w:tentative="1">
      <w:start w:val="1"/>
      <w:numFmt w:val="bullet"/>
      <w:lvlText w:val=""/>
      <w:lvlJc w:val="left"/>
      <w:pPr>
        <w:tabs>
          <w:tab w:val="num" w:pos="6480"/>
        </w:tabs>
        <w:ind w:left="6480" w:hanging="360"/>
      </w:pPr>
      <w:rPr>
        <w:rFonts w:ascii="Wingdings 3" w:hAnsi="Wingdings 3" w:hint="default"/>
      </w:rPr>
    </w:lvl>
  </w:abstractNum>
  <w:num w:numId="1">
    <w:abstractNumId w:val="18"/>
  </w:num>
  <w:num w:numId="2">
    <w:abstractNumId w:val="34"/>
  </w:num>
  <w:num w:numId="3">
    <w:abstractNumId w:val="35"/>
  </w:num>
  <w:num w:numId="4">
    <w:abstractNumId w:val="0"/>
  </w:num>
  <w:num w:numId="5">
    <w:abstractNumId w:val="25"/>
  </w:num>
  <w:num w:numId="6">
    <w:abstractNumId w:val="14"/>
  </w:num>
  <w:num w:numId="7">
    <w:abstractNumId w:val="6"/>
  </w:num>
  <w:num w:numId="8">
    <w:abstractNumId w:val="16"/>
  </w:num>
  <w:num w:numId="9">
    <w:abstractNumId w:val="1"/>
  </w:num>
  <w:num w:numId="10">
    <w:abstractNumId w:val="17"/>
  </w:num>
  <w:num w:numId="11">
    <w:abstractNumId w:val="30"/>
  </w:num>
  <w:num w:numId="12">
    <w:abstractNumId w:val="32"/>
  </w:num>
  <w:num w:numId="13">
    <w:abstractNumId w:val="5"/>
  </w:num>
  <w:num w:numId="14">
    <w:abstractNumId w:val="22"/>
  </w:num>
  <w:num w:numId="15">
    <w:abstractNumId w:val="2"/>
  </w:num>
  <w:num w:numId="16">
    <w:abstractNumId w:val="9"/>
  </w:num>
  <w:num w:numId="17">
    <w:abstractNumId w:val="12"/>
  </w:num>
  <w:num w:numId="18">
    <w:abstractNumId w:val="15"/>
  </w:num>
  <w:num w:numId="19">
    <w:abstractNumId w:val="27"/>
  </w:num>
  <w:num w:numId="20">
    <w:abstractNumId w:val="4"/>
  </w:num>
  <w:num w:numId="21">
    <w:abstractNumId w:val="11"/>
  </w:num>
  <w:num w:numId="22">
    <w:abstractNumId w:val="28"/>
  </w:num>
  <w:num w:numId="23">
    <w:abstractNumId w:val="3"/>
  </w:num>
  <w:num w:numId="24">
    <w:abstractNumId w:val="24"/>
  </w:num>
  <w:num w:numId="25">
    <w:abstractNumId w:val="23"/>
  </w:num>
  <w:num w:numId="26">
    <w:abstractNumId w:val="36"/>
  </w:num>
  <w:num w:numId="27">
    <w:abstractNumId w:val="26"/>
  </w:num>
  <w:num w:numId="28">
    <w:abstractNumId w:val="7"/>
  </w:num>
  <w:num w:numId="29">
    <w:abstractNumId w:val="10"/>
  </w:num>
  <w:num w:numId="30">
    <w:abstractNumId w:val="19"/>
  </w:num>
  <w:num w:numId="31">
    <w:abstractNumId w:val="31"/>
  </w:num>
  <w:num w:numId="32">
    <w:abstractNumId w:val="20"/>
  </w:num>
  <w:num w:numId="33">
    <w:abstractNumId w:val="8"/>
  </w:num>
  <w:num w:numId="34">
    <w:abstractNumId w:val="21"/>
  </w:num>
  <w:num w:numId="35">
    <w:abstractNumId w:val="13"/>
  </w:num>
  <w:num w:numId="36">
    <w:abstractNumId w:val="29"/>
  </w:num>
  <w:num w:numId="37">
    <w:abstractNumId w:val="3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F1"/>
    <w:rsid w:val="00001C91"/>
    <w:rsid w:val="00007AEF"/>
    <w:rsid w:val="00027059"/>
    <w:rsid w:val="000277A1"/>
    <w:rsid w:val="00035BD2"/>
    <w:rsid w:val="00045F14"/>
    <w:rsid w:val="000640CF"/>
    <w:rsid w:val="00075132"/>
    <w:rsid w:val="00083328"/>
    <w:rsid w:val="000A58BA"/>
    <w:rsid w:val="000B4985"/>
    <w:rsid w:val="000E7940"/>
    <w:rsid w:val="000F6F5F"/>
    <w:rsid w:val="0011301B"/>
    <w:rsid w:val="00123C10"/>
    <w:rsid w:val="001B1A1F"/>
    <w:rsid w:val="001B294C"/>
    <w:rsid w:val="001B3AB7"/>
    <w:rsid w:val="001D2EAF"/>
    <w:rsid w:val="001D3E4A"/>
    <w:rsid w:val="001D5143"/>
    <w:rsid w:val="001E3A6F"/>
    <w:rsid w:val="00207F12"/>
    <w:rsid w:val="002277C8"/>
    <w:rsid w:val="00277B8A"/>
    <w:rsid w:val="002832B8"/>
    <w:rsid w:val="002B5350"/>
    <w:rsid w:val="002C0D25"/>
    <w:rsid w:val="002E0BB2"/>
    <w:rsid w:val="00312786"/>
    <w:rsid w:val="00322289"/>
    <w:rsid w:val="00343625"/>
    <w:rsid w:val="0035586D"/>
    <w:rsid w:val="003565DB"/>
    <w:rsid w:val="00371B2A"/>
    <w:rsid w:val="00396E61"/>
    <w:rsid w:val="003C17BA"/>
    <w:rsid w:val="003D74C1"/>
    <w:rsid w:val="003F7574"/>
    <w:rsid w:val="00413E1D"/>
    <w:rsid w:val="004144FF"/>
    <w:rsid w:val="00415BB3"/>
    <w:rsid w:val="00440C15"/>
    <w:rsid w:val="00456FAE"/>
    <w:rsid w:val="00467642"/>
    <w:rsid w:val="004C03CE"/>
    <w:rsid w:val="004D2603"/>
    <w:rsid w:val="004F001D"/>
    <w:rsid w:val="004F4200"/>
    <w:rsid w:val="0053346C"/>
    <w:rsid w:val="00535350"/>
    <w:rsid w:val="00541B08"/>
    <w:rsid w:val="0055514C"/>
    <w:rsid w:val="00555908"/>
    <w:rsid w:val="005C200C"/>
    <w:rsid w:val="005F22A1"/>
    <w:rsid w:val="005F2F89"/>
    <w:rsid w:val="006102A3"/>
    <w:rsid w:val="00614475"/>
    <w:rsid w:val="00615C33"/>
    <w:rsid w:val="006354BF"/>
    <w:rsid w:val="00706D09"/>
    <w:rsid w:val="00725EAF"/>
    <w:rsid w:val="00742423"/>
    <w:rsid w:val="0074326F"/>
    <w:rsid w:val="00767282"/>
    <w:rsid w:val="007768A2"/>
    <w:rsid w:val="00776B9D"/>
    <w:rsid w:val="007825A2"/>
    <w:rsid w:val="0079110C"/>
    <w:rsid w:val="007D25CC"/>
    <w:rsid w:val="007E744E"/>
    <w:rsid w:val="007F2CFB"/>
    <w:rsid w:val="00835350"/>
    <w:rsid w:val="008371B9"/>
    <w:rsid w:val="00855735"/>
    <w:rsid w:val="00867944"/>
    <w:rsid w:val="00872C47"/>
    <w:rsid w:val="00873B06"/>
    <w:rsid w:val="00883B82"/>
    <w:rsid w:val="008C3A6C"/>
    <w:rsid w:val="008C68E0"/>
    <w:rsid w:val="008D7905"/>
    <w:rsid w:val="0090737D"/>
    <w:rsid w:val="00940552"/>
    <w:rsid w:val="009443F1"/>
    <w:rsid w:val="00957821"/>
    <w:rsid w:val="00982299"/>
    <w:rsid w:val="009832A0"/>
    <w:rsid w:val="009A113C"/>
    <w:rsid w:val="009A479D"/>
    <w:rsid w:val="009B5D90"/>
    <w:rsid w:val="009E238E"/>
    <w:rsid w:val="009E6157"/>
    <w:rsid w:val="00A0091E"/>
    <w:rsid w:val="00A03B30"/>
    <w:rsid w:val="00A32606"/>
    <w:rsid w:val="00A34EF1"/>
    <w:rsid w:val="00A434D8"/>
    <w:rsid w:val="00A57C03"/>
    <w:rsid w:val="00A90F7A"/>
    <w:rsid w:val="00A9340F"/>
    <w:rsid w:val="00AA1265"/>
    <w:rsid w:val="00AA162A"/>
    <w:rsid w:val="00AA7090"/>
    <w:rsid w:val="00AB7DF6"/>
    <w:rsid w:val="00AC3CDC"/>
    <w:rsid w:val="00AC3F53"/>
    <w:rsid w:val="00AF7E44"/>
    <w:rsid w:val="00B020D4"/>
    <w:rsid w:val="00B3495C"/>
    <w:rsid w:val="00B61E4F"/>
    <w:rsid w:val="00BD6A07"/>
    <w:rsid w:val="00BF1647"/>
    <w:rsid w:val="00BF6FE9"/>
    <w:rsid w:val="00BF7219"/>
    <w:rsid w:val="00C275C8"/>
    <w:rsid w:val="00C313FE"/>
    <w:rsid w:val="00C33671"/>
    <w:rsid w:val="00C43356"/>
    <w:rsid w:val="00C90158"/>
    <w:rsid w:val="00CA4F69"/>
    <w:rsid w:val="00CB78C3"/>
    <w:rsid w:val="00CC25AF"/>
    <w:rsid w:val="00CD23D5"/>
    <w:rsid w:val="00D21E54"/>
    <w:rsid w:val="00D24671"/>
    <w:rsid w:val="00D33989"/>
    <w:rsid w:val="00D65464"/>
    <w:rsid w:val="00D738F8"/>
    <w:rsid w:val="00D74B13"/>
    <w:rsid w:val="00DC35F4"/>
    <w:rsid w:val="00DE08DE"/>
    <w:rsid w:val="00E12950"/>
    <w:rsid w:val="00E13D48"/>
    <w:rsid w:val="00E4321C"/>
    <w:rsid w:val="00E81891"/>
    <w:rsid w:val="00E8215E"/>
    <w:rsid w:val="00E825A6"/>
    <w:rsid w:val="00E852AE"/>
    <w:rsid w:val="00EA0160"/>
    <w:rsid w:val="00EA3156"/>
    <w:rsid w:val="00ED61BB"/>
    <w:rsid w:val="00F0001F"/>
    <w:rsid w:val="00F011F1"/>
    <w:rsid w:val="00F15D85"/>
    <w:rsid w:val="00F16905"/>
    <w:rsid w:val="00F23124"/>
    <w:rsid w:val="00F340EF"/>
    <w:rsid w:val="00F57DDD"/>
    <w:rsid w:val="00F63EBC"/>
    <w:rsid w:val="00F824B3"/>
    <w:rsid w:val="00F96E53"/>
    <w:rsid w:val="00FE1B8F"/>
    <w:rsid w:val="00FE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A154D"/>
  <w15:docId w15:val="{4DAD1B9D-5AAC-48E2-BAB9-54BB25BC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4EF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34EF1"/>
    <w:pPr>
      <w:ind w:left="720"/>
      <w:contextualSpacing/>
    </w:pPr>
  </w:style>
  <w:style w:type="paragraph" w:styleId="Header">
    <w:name w:val="header"/>
    <w:basedOn w:val="Normal"/>
    <w:link w:val="HeaderChar"/>
    <w:uiPriority w:val="99"/>
    <w:unhideWhenUsed/>
    <w:rsid w:val="00C33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671"/>
  </w:style>
  <w:style w:type="paragraph" w:styleId="Footer">
    <w:name w:val="footer"/>
    <w:basedOn w:val="Normal"/>
    <w:link w:val="FooterChar"/>
    <w:uiPriority w:val="99"/>
    <w:unhideWhenUsed/>
    <w:rsid w:val="00C33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671"/>
  </w:style>
  <w:style w:type="paragraph" w:styleId="BalloonText">
    <w:name w:val="Balloon Text"/>
    <w:basedOn w:val="Normal"/>
    <w:link w:val="BalloonTextChar"/>
    <w:uiPriority w:val="99"/>
    <w:semiHidden/>
    <w:unhideWhenUsed/>
    <w:rsid w:val="00C33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671"/>
    <w:rPr>
      <w:rFonts w:ascii="Tahoma" w:hAnsi="Tahoma" w:cs="Tahoma"/>
      <w:sz w:val="16"/>
      <w:szCs w:val="16"/>
    </w:rPr>
  </w:style>
  <w:style w:type="paragraph" w:styleId="FootnoteText">
    <w:name w:val="footnote text"/>
    <w:basedOn w:val="Normal"/>
    <w:link w:val="FootnoteTextChar"/>
    <w:uiPriority w:val="99"/>
    <w:semiHidden/>
    <w:unhideWhenUsed/>
    <w:rsid w:val="00E432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21C"/>
    <w:rPr>
      <w:sz w:val="20"/>
      <w:szCs w:val="20"/>
    </w:rPr>
  </w:style>
  <w:style w:type="character" w:styleId="FootnoteReference">
    <w:name w:val="footnote reference"/>
    <w:basedOn w:val="DefaultParagraphFont"/>
    <w:uiPriority w:val="99"/>
    <w:semiHidden/>
    <w:unhideWhenUsed/>
    <w:rsid w:val="00E4321C"/>
    <w:rPr>
      <w:vertAlign w:val="superscript"/>
    </w:rPr>
  </w:style>
  <w:style w:type="character" w:styleId="Hyperlink">
    <w:name w:val="Hyperlink"/>
    <w:basedOn w:val="DefaultParagraphFont"/>
    <w:uiPriority w:val="99"/>
    <w:unhideWhenUsed/>
    <w:rsid w:val="004F4200"/>
    <w:rPr>
      <w:color w:val="0000FF" w:themeColor="hyperlink"/>
      <w:u w:val="single"/>
    </w:rPr>
  </w:style>
  <w:style w:type="character" w:styleId="CommentReference">
    <w:name w:val="annotation reference"/>
    <w:basedOn w:val="DefaultParagraphFont"/>
    <w:uiPriority w:val="99"/>
    <w:semiHidden/>
    <w:unhideWhenUsed/>
    <w:rsid w:val="00007AEF"/>
    <w:rPr>
      <w:sz w:val="16"/>
      <w:szCs w:val="16"/>
    </w:rPr>
  </w:style>
  <w:style w:type="paragraph" w:styleId="CommentText">
    <w:name w:val="annotation text"/>
    <w:basedOn w:val="Normal"/>
    <w:link w:val="CommentTextChar"/>
    <w:uiPriority w:val="99"/>
    <w:semiHidden/>
    <w:unhideWhenUsed/>
    <w:rsid w:val="00007AEF"/>
    <w:pPr>
      <w:spacing w:line="240" w:lineRule="auto"/>
    </w:pPr>
    <w:rPr>
      <w:sz w:val="20"/>
      <w:szCs w:val="20"/>
    </w:rPr>
  </w:style>
  <w:style w:type="character" w:customStyle="1" w:styleId="CommentTextChar">
    <w:name w:val="Comment Text Char"/>
    <w:basedOn w:val="DefaultParagraphFont"/>
    <w:link w:val="CommentText"/>
    <w:uiPriority w:val="99"/>
    <w:semiHidden/>
    <w:rsid w:val="00007AEF"/>
    <w:rPr>
      <w:sz w:val="20"/>
      <w:szCs w:val="20"/>
    </w:rPr>
  </w:style>
  <w:style w:type="paragraph" w:styleId="CommentSubject">
    <w:name w:val="annotation subject"/>
    <w:basedOn w:val="CommentText"/>
    <w:next w:val="CommentText"/>
    <w:link w:val="CommentSubjectChar"/>
    <w:uiPriority w:val="99"/>
    <w:semiHidden/>
    <w:unhideWhenUsed/>
    <w:rsid w:val="00007AEF"/>
    <w:rPr>
      <w:b/>
      <w:bCs/>
    </w:rPr>
  </w:style>
  <w:style w:type="character" w:customStyle="1" w:styleId="CommentSubjectChar">
    <w:name w:val="Comment Subject Char"/>
    <w:basedOn w:val="CommentTextChar"/>
    <w:link w:val="CommentSubject"/>
    <w:uiPriority w:val="99"/>
    <w:semiHidden/>
    <w:rsid w:val="00007AEF"/>
    <w:rPr>
      <w:b/>
      <w:bCs/>
      <w:sz w:val="20"/>
      <w:szCs w:val="20"/>
    </w:rPr>
  </w:style>
  <w:style w:type="table" w:customStyle="1" w:styleId="TableGrid2">
    <w:name w:val="Table Grid2"/>
    <w:basedOn w:val="TableNormal"/>
    <w:next w:val="TableGrid"/>
    <w:uiPriority w:val="59"/>
    <w:rsid w:val="00440C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40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D3E4A"/>
    <w:pPr>
      <w:spacing w:after="0" w:line="240" w:lineRule="auto"/>
    </w:pPr>
  </w:style>
  <w:style w:type="paragraph" w:styleId="NoSpacing">
    <w:name w:val="No Spacing"/>
    <w:uiPriority w:val="1"/>
    <w:qFormat/>
    <w:rsid w:val="00BF72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ennialReward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C40F-D689-4307-9C6A-18CC054D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3284</Words>
  <Characters>18720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Keiser</dc:creator>
  <cp:lastModifiedBy>Lovato, Julie</cp:lastModifiedBy>
  <cp:revision>2</cp:revision>
  <cp:lastPrinted>2016-12-19T16:35:00Z</cp:lastPrinted>
  <dcterms:created xsi:type="dcterms:W3CDTF">2017-01-24T02:28:00Z</dcterms:created>
  <dcterms:modified xsi:type="dcterms:W3CDTF">2017-01-24T02:28:00Z</dcterms:modified>
</cp:coreProperties>
</file>