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10" w:rsidRPr="00B45EF0" w:rsidRDefault="00C270B7" w:rsidP="00B40B1A">
      <w:pPr>
        <w:jc w:val="center"/>
        <w:outlineLvl w:val="0"/>
        <w:rPr>
          <w:b/>
          <w:sz w:val="40"/>
          <w:szCs w:val="40"/>
        </w:rPr>
      </w:pPr>
      <w:r w:rsidRPr="00B45EF0">
        <w:rPr>
          <w:b/>
          <w:noProof/>
          <w:sz w:val="40"/>
          <w:szCs w:val="40"/>
        </w:rPr>
        <w:drawing>
          <wp:anchor distT="36576" distB="36576" distL="36576" distR="36576" simplePos="0" relativeHeight="251660288" behindDoc="0" locked="0" layoutInCell="1" allowOverlap="1" wp14:anchorId="3018D114" wp14:editId="4319B46C">
            <wp:simplePos x="0" y="0"/>
            <wp:positionH relativeFrom="column">
              <wp:posOffset>-409575</wp:posOffset>
            </wp:positionH>
            <wp:positionV relativeFrom="paragraph">
              <wp:posOffset>-746546</wp:posOffset>
            </wp:positionV>
            <wp:extent cx="1771650" cy="802221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78" cy="80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510" w:rsidRPr="00B45EF0">
        <w:rPr>
          <w:b/>
          <w:sz w:val="40"/>
          <w:szCs w:val="40"/>
        </w:rPr>
        <w:t xml:space="preserve">Community Services Block Grant </w:t>
      </w:r>
    </w:p>
    <w:p w:rsidR="003B7AA1" w:rsidRPr="00B45EF0" w:rsidRDefault="003B7AA1" w:rsidP="003B4C4E">
      <w:pPr>
        <w:jc w:val="center"/>
        <w:outlineLvl w:val="0"/>
        <w:rPr>
          <w:b/>
          <w:sz w:val="40"/>
          <w:szCs w:val="40"/>
        </w:rPr>
      </w:pPr>
      <w:r w:rsidRPr="00B45EF0">
        <w:rPr>
          <w:b/>
          <w:sz w:val="40"/>
          <w:szCs w:val="40"/>
        </w:rPr>
        <w:t>Fact Sheet</w:t>
      </w:r>
    </w:p>
    <w:p w:rsidR="00262505" w:rsidRPr="00262505" w:rsidRDefault="00262505" w:rsidP="009F43D9">
      <w:pPr>
        <w:jc w:val="both"/>
      </w:pPr>
      <w:r>
        <w:t>The Community Servic</w:t>
      </w:r>
      <w:bookmarkStart w:id="0" w:name="_GoBack"/>
      <w:bookmarkEnd w:id="0"/>
      <w:r>
        <w:t xml:space="preserve">es Block Grant (CSBG) is a </w:t>
      </w:r>
      <w:r w:rsidR="009411A6">
        <w:t>formula</w:t>
      </w:r>
      <w:r>
        <w:t xml:space="preserve"> grant from </w:t>
      </w:r>
      <w:r w:rsidR="00050F3F">
        <w:t xml:space="preserve">the </w:t>
      </w:r>
      <w:r>
        <w:t>U</w:t>
      </w:r>
      <w:r w:rsidR="00050F3F">
        <w:t>.</w:t>
      </w:r>
      <w:r>
        <w:t>S</w:t>
      </w:r>
      <w:r w:rsidR="00050F3F">
        <w:t>.</w:t>
      </w:r>
      <w:r>
        <w:t xml:space="preserve"> Department of </w:t>
      </w:r>
      <w:r w:rsidR="00CA5830">
        <w:t xml:space="preserve">Health and Human Services (HHS). </w:t>
      </w:r>
      <w:r>
        <w:t xml:space="preserve">CSBG provides a flexible funding source </w:t>
      </w:r>
      <w:r w:rsidR="007D1B85">
        <w:t>to HSD for</w:t>
      </w:r>
      <w:r w:rsidR="00487FBE" w:rsidRPr="00487FBE">
        <w:t xml:space="preserve"> </w:t>
      </w:r>
      <w:r w:rsidR="00487FBE">
        <w:t xml:space="preserve">the reduction of poverty in </w:t>
      </w:r>
      <w:r>
        <w:t xml:space="preserve">local communities through a network </w:t>
      </w:r>
      <w:r w:rsidR="009F43D9">
        <w:t>of Community Action A</w:t>
      </w:r>
      <w:r w:rsidR="00487FBE">
        <w:t>gencies</w:t>
      </w:r>
      <w:r w:rsidR="009F43D9">
        <w:t xml:space="preserve"> (CAAs).</w:t>
      </w:r>
      <w:r w:rsidR="002C5BD8">
        <w:t xml:space="preserve"> </w:t>
      </w:r>
      <w:r w:rsidR="00487FBE">
        <w:t>The six-agency network</w:t>
      </w:r>
      <w:r w:rsidR="00585DEC">
        <w:t xml:space="preserve"> covers the entire state. </w:t>
      </w:r>
      <w:r w:rsidR="002C5BD8">
        <w:t>Within HSD, CSBG is administered by the Income Support Division/Work and Family Support Bureau.</w:t>
      </w:r>
    </w:p>
    <w:p w:rsidR="00262505" w:rsidRDefault="00C349C9" w:rsidP="00AD699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31115</wp:posOffset>
                </wp:positionV>
                <wp:extent cx="3067685" cy="31584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479" w:rsidRPr="00420E46" w:rsidRDefault="003D0479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0875" cy="3190875"/>
                                  <wp:effectExtent l="0" t="0" r="9525" b="9525"/>
                                  <wp:docPr id="1" name="Picture 1" descr="FY08 Map NMW Are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Y08 Map NMW Are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3091" b="43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0875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2.45pt;width:241.55pt;height:2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" stroked="f">
                <v:textbox style="mso-fit-shape-to-text:t">
                  <w:txbxContent>
                    <w:p w:rsidR="003D0479" w:rsidRPr="00420E46" w:rsidRDefault="003D0479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90875" cy="3190875"/>
                            <wp:effectExtent l="0" t="0" r="9525" b="9525"/>
                            <wp:docPr id="1" name="Picture 1" descr="FY08 Map NMW Are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Y08 Map NMW Are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t="13091" b="43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0875" cy="3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2505" w:rsidRPr="00B24541" w:rsidRDefault="00262505" w:rsidP="0023064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</w:rPr>
      </w:pPr>
      <w:r w:rsidRPr="00B24541">
        <w:rPr>
          <w:b/>
        </w:rPr>
        <w:t>Funding</w:t>
      </w:r>
    </w:p>
    <w:p w:rsidR="00262505" w:rsidRDefault="00262505" w:rsidP="00262505">
      <w:pPr>
        <w:ind w:left="360"/>
        <w:rPr>
          <w:b/>
        </w:rPr>
      </w:pPr>
    </w:p>
    <w:p w:rsidR="00576D21" w:rsidRPr="00B24541" w:rsidRDefault="00262505" w:rsidP="00F97B63">
      <w:pPr>
        <w:numPr>
          <w:ilvl w:val="0"/>
          <w:numId w:val="15"/>
        </w:numPr>
        <w:rPr>
          <w:b/>
        </w:rPr>
      </w:pPr>
      <w:r w:rsidRPr="00B24541">
        <w:rPr>
          <w:b/>
        </w:rPr>
        <w:t>Federal Funding</w:t>
      </w:r>
    </w:p>
    <w:p w:rsidR="007A3B69" w:rsidRPr="00B24541" w:rsidRDefault="006C6500" w:rsidP="007A3B69">
      <w:pPr>
        <w:numPr>
          <w:ilvl w:val="1"/>
          <w:numId w:val="15"/>
        </w:numPr>
        <w:tabs>
          <w:tab w:val="clear" w:pos="1800"/>
          <w:tab w:val="num" w:pos="1080"/>
        </w:tabs>
        <w:ind w:hanging="1080"/>
        <w:rPr>
          <w:b/>
        </w:rPr>
      </w:pPr>
      <w:r w:rsidRPr="00B24541">
        <w:t>2014--pending</w:t>
      </w:r>
    </w:p>
    <w:p w:rsidR="00262505" w:rsidRPr="00B24541" w:rsidRDefault="00576D21" w:rsidP="00576D21">
      <w:pPr>
        <w:pStyle w:val="ListParagraph"/>
        <w:numPr>
          <w:ilvl w:val="0"/>
          <w:numId w:val="28"/>
        </w:numPr>
        <w:ind w:left="1080"/>
        <w:rPr>
          <w:rFonts w:ascii="Times New Roman" w:hAnsi="Times New Roman"/>
          <w:sz w:val="24"/>
          <w:szCs w:val="24"/>
        </w:rPr>
      </w:pPr>
      <w:r w:rsidRPr="00B24541">
        <w:rPr>
          <w:rFonts w:ascii="Times New Roman" w:hAnsi="Times New Roman"/>
          <w:sz w:val="24"/>
          <w:szCs w:val="24"/>
        </w:rPr>
        <w:t>2013--</w:t>
      </w:r>
      <w:r w:rsidR="006D3315" w:rsidRPr="00B24541">
        <w:rPr>
          <w:rFonts w:ascii="Times New Roman" w:hAnsi="Times New Roman"/>
          <w:sz w:val="24"/>
          <w:szCs w:val="24"/>
        </w:rPr>
        <w:t>$3,467,113</w:t>
      </w:r>
    </w:p>
    <w:p w:rsidR="001E5C0A" w:rsidRPr="00B24541" w:rsidRDefault="001E5C0A" w:rsidP="007D1B85">
      <w:pPr>
        <w:numPr>
          <w:ilvl w:val="0"/>
          <w:numId w:val="7"/>
        </w:numPr>
      </w:pPr>
      <w:r w:rsidRPr="00B24541">
        <w:t>2012--</w:t>
      </w:r>
      <w:r w:rsidR="00D833DF" w:rsidRPr="00B24541">
        <w:t>$3,696,732</w:t>
      </w:r>
    </w:p>
    <w:p w:rsidR="0045103B" w:rsidRPr="00B24541" w:rsidRDefault="00051579" w:rsidP="007D1B85">
      <w:pPr>
        <w:numPr>
          <w:ilvl w:val="0"/>
          <w:numId w:val="7"/>
        </w:numPr>
      </w:pPr>
      <w:r w:rsidRPr="00B24541">
        <w:t>2011--$3,</w:t>
      </w:r>
      <w:r w:rsidR="007E0A4D" w:rsidRPr="00B24541">
        <w:t>853,5</w:t>
      </w:r>
      <w:r w:rsidR="009C3202" w:rsidRPr="00B24541">
        <w:t>50</w:t>
      </w:r>
    </w:p>
    <w:p w:rsidR="007D1B85" w:rsidRPr="00B24541" w:rsidRDefault="00E96CDE" w:rsidP="00576D21">
      <w:pPr>
        <w:numPr>
          <w:ilvl w:val="0"/>
          <w:numId w:val="7"/>
        </w:numPr>
      </w:pPr>
      <w:r w:rsidRPr="00B24541">
        <w:t>2010--$3,963,326</w:t>
      </w:r>
      <w:r w:rsidR="00420E46" w:rsidRPr="00B24541">
        <w:tab/>
      </w:r>
      <w:r w:rsidR="00420E46" w:rsidRPr="00B24541">
        <w:tab/>
      </w:r>
      <w:r w:rsidR="00420E46" w:rsidRPr="00B24541">
        <w:tab/>
      </w:r>
      <w:r w:rsidR="00F97B63" w:rsidRPr="00B24541">
        <w:tab/>
      </w:r>
      <w:r w:rsidR="00576D21" w:rsidRPr="00B24541">
        <w:tab/>
      </w:r>
      <w:r w:rsidR="00576D21" w:rsidRPr="00B24541">
        <w:tab/>
      </w:r>
      <w:r w:rsidR="00576D21" w:rsidRPr="00B24541">
        <w:tab/>
      </w:r>
      <w:r w:rsidR="00576D21" w:rsidRPr="00B24541">
        <w:tab/>
      </w:r>
      <w:r w:rsidR="00576D21" w:rsidRPr="00B24541">
        <w:tab/>
      </w:r>
      <w:r w:rsidR="00576D21" w:rsidRPr="00B24541">
        <w:tab/>
      </w:r>
    </w:p>
    <w:p w:rsidR="00B24541" w:rsidRPr="00B24541" w:rsidRDefault="00B24541" w:rsidP="00E96CDE">
      <w:pPr>
        <w:ind w:left="720"/>
      </w:pPr>
    </w:p>
    <w:p w:rsidR="007D1B85" w:rsidRPr="00B24541" w:rsidRDefault="009513CD" w:rsidP="00E96CDE">
      <w:pPr>
        <w:ind w:left="720"/>
      </w:pPr>
      <w:r w:rsidRPr="00B24541">
        <w:tab/>
      </w:r>
      <w:r w:rsidRPr="00B24541">
        <w:tab/>
      </w:r>
      <w:r w:rsidRPr="00B24541">
        <w:tab/>
      </w:r>
    </w:p>
    <w:p w:rsidR="00E15E74" w:rsidRPr="00B24541" w:rsidRDefault="00E15E74" w:rsidP="00F97B63">
      <w:pPr>
        <w:numPr>
          <w:ilvl w:val="0"/>
          <w:numId w:val="13"/>
        </w:numPr>
        <w:rPr>
          <w:b/>
        </w:rPr>
      </w:pPr>
      <w:r w:rsidRPr="00B24541">
        <w:rPr>
          <w:b/>
        </w:rPr>
        <w:t>Allocation of Funds</w:t>
      </w:r>
      <w:r w:rsidR="00397479">
        <w:rPr>
          <w:b/>
        </w:rPr>
        <w:t xml:space="preserve"> set by Federal Statute</w:t>
      </w:r>
      <w:r w:rsidR="009513CD" w:rsidRPr="00B24541">
        <w:rPr>
          <w:b/>
        </w:rPr>
        <w:tab/>
      </w:r>
    </w:p>
    <w:p w:rsidR="00E15E74" w:rsidRPr="00B24541" w:rsidRDefault="00E15E74" w:rsidP="009F43D9">
      <w:pPr>
        <w:numPr>
          <w:ilvl w:val="0"/>
          <w:numId w:val="14"/>
        </w:numPr>
      </w:pPr>
      <w:bookmarkStart w:id="1" w:name="OLE_LINK3"/>
      <w:bookmarkStart w:id="2" w:name="OLE_LINK4"/>
      <w:r w:rsidRPr="00B24541">
        <w:t xml:space="preserve">90% </w:t>
      </w:r>
      <w:r w:rsidR="009411A6">
        <w:t xml:space="preserve">to </w:t>
      </w:r>
      <w:r w:rsidRPr="00B24541">
        <w:t>Eligible Entities</w:t>
      </w:r>
      <w:r w:rsidR="00360BE2" w:rsidRPr="00B24541">
        <w:t xml:space="preserve"> (CAA</w:t>
      </w:r>
      <w:r w:rsidR="00335DA5" w:rsidRPr="00B24541">
        <w:t>s</w:t>
      </w:r>
      <w:r w:rsidR="00360BE2" w:rsidRPr="00B24541">
        <w:t>)</w:t>
      </w:r>
      <w:r w:rsidR="00BA4B12">
        <w:t>.</w:t>
      </w:r>
    </w:p>
    <w:bookmarkEnd w:id="1"/>
    <w:bookmarkEnd w:id="2"/>
    <w:p w:rsidR="00E15E74" w:rsidRPr="00B24541" w:rsidRDefault="007D1B85" w:rsidP="00F97B63">
      <w:pPr>
        <w:numPr>
          <w:ilvl w:val="0"/>
          <w:numId w:val="14"/>
        </w:numPr>
      </w:pPr>
      <w:r w:rsidRPr="00B24541">
        <w:t xml:space="preserve">5% </w:t>
      </w:r>
      <w:r w:rsidR="009411A6">
        <w:t>for</w:t>
      </w:r>
      <w:r w:rsidRPr="00B24541">
        <w:t xml:space="preserve"> HSD A</w:t>
      </w:r>
      <w:r w:rsidR="00E15E74" w:rsidRPr="00B24541">
        <w:t>dm</w:t>
      </w:r>
      <w:r w:rsidRPr="00B24541">
        <w:t>inistrative E</w:t>
      </w:r>
      <w:r w:rsidR="00E15E74" w:rsidRPr="00B24541">
        <w:t>xpenses</w:t>
      </w:r>
      <w:r w:rsidR="00BA4B12">
        <w:t>.</w:t>
      </w:r>
      <w:r w:rsidR="00E15E74" w:rsidRPr="00B24541">
        <w:t xml:space="preserve"> </w:t>
      </w:r>
    </w:p>
    <w:p w:rsidR="006B730D" w:rsidRPr="00B24541" w:rsidRDefault="00E15E74" w:rsidP="00F97B63">
      <w:pPr>
        <w:numPr>
          <w:ilvl w:val="0"/>
          <w:numId w:val="14"/>
        </w:numPr>
        <w:rPr>
          <w:b/>
        </w:rPr>
      </w:pPr>
      <w:r w:rsidRPr="00B24541">
        <w:t xml:space="preserve">5% </w:t>
      </w:r>
      <w:r w:rsidR="00397479">
        <w:t>for</w:t>
      </w:r>
      <w:r w:rsidRPr="00B24541">
        <w:t xml:space="preserve"> Discretionary</w:t>
      </w:r>
      <w:r w:rsidR="007D1B85" w:rsidRPr="00B24541">
        <w:t xml:space="preserve"> Spending</w:t>
      </w:r>
      <w:r w:rsidR="00BA4B12">
        <w:t>.</w:t>
      </w:r>
      <w:r w:rsidR="00360BE2" w:rsidRPr="00B24541">
        <w:t xml:space="preserve"> </w:t>
      </w:r>
    </w:p>
    <w:p w:rsidR="00F97B63" w:rsidRDefault="00F97B63" w:rsidP="00F97B63">
      <w:pPr>
        <w:rPr>
          <w:b/>
        </w:rPr>
      </w:pPr>
    </w:p>
    <w:p w:rsidR="00051579" w:rsidRDefault="00051579" w:rsidP="00F97B63">
      <w:pPr>
        <w:rPr>
          <w:b/>
        </w:rPr>
      </w:pPr>
    </w:p>
    <w:p w:rsidR="00360BE2" w:rsidRPr="00B24541" w:rsidRDefault="002A31F0" w:rsidP="0023064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/>
        </w:rPr>
      </w:pPr>
      <w:r>
        <w:rPr>
          <w:b/>
        </w:rPr>
        <w:t>HSD awards f</w:t>
      </w:r>
      <w:r w:rsidR="00360BE2" w:rsidRPr="00B24541">
        <w:rPr>
          <w:b/>
        </w:rPr>
        <w:t>our</w:t>
      </w:r>
      <w:r w:rsidR="00B24541" w:rsidRPr="00B24541">
        <w:rPr>
          <w:b/>
        </w:rPr>
        <w:t>-</w:t>
      </w:r>
      <w:r>
        <w:rPr>
          <w:b/>
        </w:rPr>
        <w:t>y</w:t>
      </w:r>
      <w:r w:rsidR="00360BE2" w:rsidRPr="00B24541">
        <w:rPr>
          <w:b/>
        </w:rPr>
        <w:t>ear Sole Source Professional Serv</w:t>
      </w:r>
      <w:r>
        <w:rPr>
          <w:b/>
        </w:rPr>
        <w:t xml:space="preserve">ice Contracts (amended </w:t>
      </w:r>
      <w:r w:rsidR="00327AF5">
        <w:rPr>
          <w:b/>
        </w:rPr>
        <w:t xml:space="preserve">Service Contracts (amended </w:t>
      </w:r>
      <w:r>
        <w:rPr>
          <w:b/>
        </w:rPr>
        <w:t>annually</w:t>
      </w:r>
      <w:r w:rsidR="00360BE2" w:rsidRPr="00B24541">
        <w:rPr>
          <w:b/>
        </w:rPr>
        <w:t xml:space="preserve">) </w:t>
      </w:r>
    </w:p>
    <w:p w:rsidR="00335DA5" w:rsidRPr="00B24541" w:rsidRDefault="00360BE2" w:rsidP="0023064F">
      <w:pPr>
        <w:numPr>
          <w:ilvl w:val="1"/>
          <w:numId w:val="17"/>
        </w:numPr>
        <w:tabs>
          <w:tab w:val="clear" w:pos="1440"/>
          <w:tab w:val="num" w:pos="1080"/>
        </w:tabs>
        <w:ind w:left="1080"/>
        <w:rPr>
          <w:b/>
        </w:rPr>
      </w:pPr>
      <w:r w:rsidRPr="00B24541">
        <w:t>A base allocation of $50,000</w:t>
      </w:r>
      <w:r w:rsidR="00845334">
        <w:t xml:space="preserve"> </w:t>
      </w:r>
      <w:r w:rsidRPr="00B24541">
        <w:t>to each CAA</w:t>
      </w:r>
      <w:r w:rsidR="00335DA5" w:rsidRPr="00B24541">
        <w:t xml:space="preserve"> for regular CSBG funding</w:t>
      </w:r>
      <w:r w:rsidR="00AD06EF" w:rsidRPr="00B24541">
        <w:t>.</w:t>
      </w:r>
    </w:p>
    <w:p w:rsidR="00360BE2" w:rsidRPr="00B24541" w:rsidRDefault="00EC2E99" w:rsidP="0023064F">
      <w:pPr>
        <w:numPr>
          <w:ilvl w:val="1"/>
          <w:numId w:val="17"/>
        </w:numPr>
        <w:tabs>
          <w:tab w:val="clear" w:pos="1440"/>
          <w:tab w:val="num" w:pos="1080"/>
        </w:tabs>
        <w:ind w:left="1080"/>
        <w:rPr>
          <w:b/>
        </w:rPr>
      </w:pPr>
      <w:r w:rsidRPr="00B24541">
        <w:t>$79,516</w:t>
      </w:r>
      <w:r w:rsidR="00386AA7" w:rsidRPr="00B24541">
        <w:t xml:space="preserve"> to HELP NM for state</w:t>
      </w:r>
      <w:r w:rsidR="00360BE2" w:rsidRPr="00B24541">
        <w:t>wide seasonal an</w:t>
      </w:r>
      <w:r w:rsidR="00AD06EF" w:rsidRPr="00B24541">
        <w:t>d migrant farm workers services.</w:t>
      </w:r>
    </w:p>
    <w:p w:rsidR="00360BE2" w:rsidRPr="00924861" w:rsidRDefault="00360BE2" w:rsidP="0023064F">
      <w:pPr>
        <w:numPr>
          <w:ilvl w:val="1"/>
          <w:numId w:val="17"/>
        </w:numPr>
        <w:tabs>
          <w:tab w:val="clear" w:pos="1440"/>
          <w:tab w:val="num" w:pos="1080"/>
        </w:tabs>
        <w:ind w:left="1080"/>
        <w:rPr>
          <w:b/>
        </w:rPr>
      </w:pPr>
      <w:r w:rsidRPr="00B24541">
        <w:t>Remainder apportioned</w:t>
      </w:r>
      <w:r w:rsidR="00704262">
        <w:t xml:space="preserve"> to CAAs </w:t>
      </w:r>
      <w:r w:rsidR="00704262" w:rsidRPr="00B24541">
        <w:t>by</w:t>
      </w:r>
      <w:r w:rsidRPr="00B24541">
        <w:t xml:space="preserve"> co</w:t>
      </w:r>
      <w:r w:rsidR="00704262">
        <w:t>unty poverty census data.</w:t>
      </w:r>
    </w:p>
    <w:p w:rsidR="00924861" w:rsidRPr="00B24541" w:rsidRDefault="00924861" w:rsidP="00924861">
      <w:pPr>
        <w:ind w:left="1080"/>
        <w:rPr>
          <w:b/>
        </w:rPr>
      </w:pPr>
    </w:p>
    <w:p w:rsidR="00262505" w:rsidRPr="00B24541" w:rsidRDefault="00262505" w:rsidP="00335DA5">
      <w:pPr>
        <w:rPr>
          <w:b/>
          <w:sz w:val="22"/>
          <w:szCs w:val="22"/>
        </w:rPr>
      </w:pPr>
    </w:p>
    <w:p w:rsidR="007311F1" w:rsidRPr="007311F1" w:rsidRDefault="00E15E74" w:rsidP="007311F1">
      <w:pPr>
        <w:numPr>
          <w:ilvl w:val="0"/>
          <w:numId w:val="31"/>
        </w:numPr>
        <w:ind w:left="720"/>
        <w:rPr>
          <w:b/>
          <w:sz w:val="22"/>
          <w:szCs w:val="22"/>
        </w:rPr>
      </w:pPr>
      <w:r w:rsidRPr="00BF5EE3">
        <w:rPr>
          <w:b/>
        </w:rPr>
        <w:t>Eligible Entities</w:t>
      </w:r>
    </w:p>
    <w:p w:rsidR="007311F1" w:rsidRPr="007311F1" w:rsidRDefault="007311F1" w:rsidP="007311F1">
      <w:pPr>
        <w:pStyle w:val="ListParagraph"/>
        <w:numPr>
          <w:ilvl w:val="0"/>
          <w:numId w:val="32"/>
        </w:numPr>
        <w:ind w:left="1080"/>
        <w:rPr>
          <w:rFonts w:ascii="Times New Roman" w:hAnsi="Times New Roman"/>
          <w:b/>
          <w:sz w:val="24"/>
          <w:szCs w:val="24"/>
        </w:rPr>
      </w:pPr>
      <w:r w:rsidRPr="007311F1">
        <w:rPr>
          <w:rFonts w:ascii="Times New Roman" w:hAnsi="Times New Roman"/>
          <w:sz w:val="24"/>
          <w:szCs w:val="24"/>
        </w:rPr>
        <w:t>CAAs can be d</w:t>
      </w:r>
      <w:r w:rsidR="007D1B85" w:rsidRPr="007311F1">
        <w:rPr>
          <w:rFonts w:ascii="Times New Roman" w:hAnsi="Times New Roman"/>
          <w:sz w:val="24"/>
          <w:szCs w:val="24"/>
        </w:rPr>
        <w:t xml:space="preserve">esignated </w:t>
      </w:r>
      <w:r w:rsidR="002614B7" w:rsidRPr="007311F1">
        <w:rPr>
          <w:rFonts w:ascii="Times New Roman" w:hAnsi="Times New Roman"/>
          <w:sz w:val="24"/>
          <w:szCs w:val="24"/>
        </w:rPr>
        <w:t>as of</w:t>
      </w:r>
      <w:r w:rsidR="001062F8" w:rsidRPr="007311F1">
        <w:rPr>
          <w:rFonts w:ascii="Times New Roman" w:hAnsi="Times New Roman"/>
          <w:sz w:val="24"/>
          <w:szCs w:val="24"/>
        </w:rPr>
        <w:t xml:space="preserve"> September 30, 1981 </w:t>
      </w:r>
      <w:r w:rsidR="002614B7" w:rsidRPr="007311F1">
        <w:rPr>
          <w:rFonts w:ascii="Times New Roman" w:hAnsi="Times New Roman"/>
          <w:sz w:val="24"/>
          <w:szCs w:val="24"/>
        </w:rPr>
        <w:t xml:space="preserve">under the provisions of the </w:t>
      </w:r>
      <w:r w:rsidR="002007D0" w:rsidRPr="007311F1">
        <w:rPr>
          <w:rFonts w:ascii="Times New Roman" w:hAnsi="Times New Roman"/>
          <w:sz w:val="24"/>
          <w:szCs w:val="24"/>
        </w:rPr>
        <w:t>federal Economic Opportunity Act of 1964</w:t>
      </w:r>
      <w:r w:rsidR="005118FB" w:rsidRPr="007311F1">
        <w:rPr>
          <w:rFonts w:ascii="Times New Roman" w:hAnsi="Times New Roman"/>
          <w:sz w:val="24"/>
          <w:szCs w:val="24"/>
        </w:rPr>
        <w:t>,</w:t>
      </w:r>
      <w:r w:rsidR="002007D0" w:rsidRPr="007311F1">
        <w:rPr>
          <w:rFonts w:ascii="Times New Roman" w:hAnsi="Times New Roman"/>
          <w:sz w:val="24"/>
          <w:szCs w:val="24"/>
        </w:rPr>
        <w:t xml:space="preserve"> </w:t>
      </w:r>
      <w:r w:rsidR="002E1761" w:rsidRPr="007311F1">
        <w:rPr>
          <w:rFonts w:ascii="Times New Roman" w:hAnsi="Times New Roman"/>
          <w:sz w:val="24"/>
          <w:szCs w:val="24"/>
        </w:rPr>
        <w:t xml:space="preserve">or by the Governor </w:t>
      </w:r>
      <w:r w:rsidR="005118FB" w:rsidRPr="007311F1">
        <w:rPr>
          <w:rFonts w:ascii="Times New Roman" w:hAnsi="Times New Roman"/>
          <w:sz w:val="24"/>
          <w:szCs w:val="24"/>
        </w:rPr>
        <w:t>under the</w:t>
      </w:r>
      <w:r w:rsidR="001062F8" w:rsidRPr="007311F1">
        <w:rPr>
          <w:rFonts w:ascii="Times New Roman" w:hAnsi="Times New Roman"/>
          <w:sz w:val="24"/>
          <w:szCs w:val="24"/>
        </w:rPr>
        <w:t xml:space="preserve"> New Mexico Community Action Act of 1983</w:t>
      </w:r>
      <w:r w:rsidR="00BC2C99" w:rsidRPr="007311F1">
        <w:rPr>
          <w:rFonts w:ascii="Times New Roman" w:hAnsi="Times New Roman"/>
          <w:sz w:val="24"/>
          <w:szCs w:val="24"/>
        </w:rPr>
        <w:t>.</w:t>
      </w:r>
      <w:r w:rsidR="004D0D25" w:rsidRPr="007311F1">
        <w:rPr>
          <w:rFonts w:ascii="Times New Roman" w:hAnsi="Times New Roman"/>
          <w:sz w:val="24"/>
          <w:szCs w:val="24"/>
        </w:rPr>
        <w:t xml:space="preserve"> </w:t>
      </w:r>
    </w:p>
    <w:p w:rsidR="00262505" w:rsidRPr="007311F1" w:rsidRDefault="007311F1" w:rsidP="007311F1">
      <w:pPr>
        <w:pStyle w:val="ListParagraph"/>
        <w:numPr>
          <w:ilvl w:val="0"/>
          <w:numId w:val="32"/>
        </w:numPr>
        <w:ind w:left="1080"/>
        <w:rPr>
          <w:rFonts w:ascii="Times New Roman" w:hAnsi="Times New Roman"/>
          <w:b/>
          <w:sz w:val="24"/>
          <w:szCs w:val="24"/>
        </w:rPr>
      </w:pPr>
      <w:r w:rsidRPr="007311F1">
        <w:rPr>
          <w:rFonts w:ascii="Times New Roman" w:hAnsi="Times New Roman"/>
          <w:sz w:val="24"/>
          <w:szCs w:val="24"/>
        </w:rPr>
        <w:t xml:space="preserve">All </w:t>
      </w:r>
      <w:r w:rsidR="004D0D25" w:rsidRPr="007311F1">
        <w:rPr>
          <w:rFonts w:ascii="Times New Roman" w:hAnsi="Times New Roman"/>
          <w:sz w:val="24"/>
          <w:szCs w:val="24"/>
        </w:rPr>
        <w:t xml:space="preserve">CAAs </w:t>
      </w:r>
      <w:r>
        <w:rPr>
          <w:rFonts w:ascii="Times New Roman" w:hAnsi="Times New Roman"/>
          <w:sz w:val="24"/>
          <w:szCs w:val="24"/>
        </w:rPr>
        <w:t xml:space="preserve">currently operating in New Mexico </w:t>
      </w:r>
      <w:r w:rsidR="00A16D93" w:rsidRPr="007311F1">
        <w:rPr>
          <w:rFonts w:ascii="Times New Roman" w:hAnsi="Times New Roman"/>
          <w:sz w:val="24"/>
          <w:szCs w:val="24"/>
        </w:rPr>
        <w:t>are designated</w:t>
      </w:r>
      <w:r w:rsidR="004D0D25" w:rsidRPr="007311F1">
        <w:rPr>
          <w:rFonts w:ascii="Times New Roman" w:hAnsi="Times New Roman"/>
          <w:sz w:val="24"/>
          <w:szCs w:val="24"/>
        </w:rPr>
        <w:t xml:space="preserve"> under the federal provisions.</w:t>
      </w:r>
    </w:p>
    <w:p w:rsidR="0045103B" w:rsidRPr="0087337D" w:rsidRDefault="0045103B" w:rsidP="0045103B">
      <w:pPr>
        <w:ind w:left="360"/>
        <w:rPr>
          <w:b/>
        </w:rPr>
      </w:pPr>
    </w:p>
    <w:tbl>
      <w:tblPr>
        <w:tblStyle w:val="TableGrid"/>
        <w:tblW w:w="9107" w:type="dxa"/>
        <w:tblInd w:w="738" w:type="dxa"/>
        <w:tblLook w:val="01E0" w:firstRow="1" w:lastRow="1" w:firstColumn="1" w:lastColumn="1" w:noHBand="0" w:noVBand="0"/>
      </w:tblPr>
      <w:tblGrid>
        <w:gridCol w:w="6442"/>
        <w:gridCol w:w="2665"/>
      </w:tblGrid>
      <w:tr w:rsidR="0045103B" w:rsidRPr="007D1B85" w:rsidTr="00051579">
        <w:trPr>
          <w:trHeight w:val="271"/>
        </w:trPr>
        <w:tc>
          <w:tcPr>
            <w:tcW w:w="6442" w:type="dxa"/>
            <w:shd w:val="clear" w:color="auto" w:fill="CCFFFF"/>
          </w:tcPr>
          <w:p w:rsidR="0045103B" w:rsidRPr="00B24541" w:rsidRDefault="0045103B" w:rsidP="007D1B85">
            <w:pPr>
              <w:jc w:val="center"/>
              <w:rPr>
                <w:b/>
                <w:sz w:val="22"/>
                <w:szCs w:val="22"/>
              </w:rPr>
            </w:pPr>
            <w:r w:rsidRPr="00B24541">
              <w:rPr>
                <w:b/>
                <w:sz w:val="22"/>
                <w:szCs w:val="22"/>
              </w:rPr>
              <w:t>Community Action Agencies (CAAs)</w:t>
            </w:r>
          </w:p>
        </w:tc>
        <w:tc>
          <w:tcPr>
            <w:tcW w:w="2665" w:type="dxa"/>
            <w:shd w:val="clear" w:color="auto" w:fill="CCFFFF"/>
          </w:tcPr>
          <w:p w:rsidR="0045103B" w:rsidRPr="00B24541" w:rsidRDefault="0045103B" w:rsidP="00531214">
            <w:pPr>
              <w:jc w:val="center"/>
              <w:rPr>
                <w:b/>
                <w:sz w:val="22"/>
                <w:szCs w:val="22"/>
              </w:rPr>
            </w:pPr>
            <w:r w:rsidRPr="00B24541">
              <w:rPr>
                <w:b/>
                <w:sz w:val="22"/>
                <w:szCs w:val="22"/>
              </w:rPr>
              <w:t>SFY 20</w:t>
            </w:r>
            <w:r w:rsidR="00576D21" w:rsidRPr="00B24541">
              <w:rPr>
                <w:b/>
                <w:sz w:val="22"/>
                <w:szCs w:val="22"/>
              </w:rPr>
              <w:t>1</w:t>
            </w:r>
            <w:r w:rsidR="00531214" w:rsidRPr="00B24541">
              <w:rPr>
                <w:b/>
                <w:sz w:val="22"/>
                <w:szCs w:val="22"/>
              </w:rPr>
              <w:t>4</w:t>
            </w:r>
            <w:r w:rsidR="00576D21" w:rsidRPr="00B24541">
              <w:rPr>
                <w:b/>
                <w:sz w:val="22"/>
                <w:szCs w:val="22"/>
              </w:rPr>
              <w:t xml:space="preserve"> </w:t>
            </w:r>
            <w:r w:rsidRPr="00B24541">
              <w:rPr>
                <w:b/>
                <w:sz w:val="22"/>
                <w:szCs w:val="22"/>
              </w:rPr>
              <w:t>Funding</w:t>
            </w:r>
          </w:p>
        </w:tc>
      </w:tr>
      <w:tr w:rsidR="0045103B" w:rsidTr="008A2BFB">
        <w:trPr>
          <w:trHeight w:val="242"/>
        </w:trPr>
        <w:tc>
          <w:tcPr>
            <w:tcW w:w="6442" w:type="dxa"/>
          </w:tcPr>
          <w:p w:rsidR="0045103B" w:rsidRPr="00B24541" w:rsidRDefault="0045103B" w:rsidP="007D1B85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Community Action Agency of Southern NM</w:t>
            </w:r>
            <w:r w:rsidR="00051579" w:rsidRPr="00B24541">
              <w:rPr>
                <w:sz w:val="22"/>
                <w:szCs w:val="22"/>
              </w:rPr>
              <w:t xml:space="preserve"> (CAASNM)</w:t>
            </w:r>
          </w:p>
        </w:tc>
        <w:tc>
          <w:tcPr>
            <w:tcW w:w="2665" w:type="dxa"/>
          </w:tcPr>
          <w:p w:rsidR="0045103B" w:rsidRPr="00B24541" w:rsidRDefault="0045103B" w:rsidP="00531214">
            <w:pPr>
              <w:jc w:val="center"/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$</w:t>
            </w:r>
            <w:r w:rsidR="00531214" w:rsidRPr="00B24541">
              <w:rPr>
                <w:sz w:val="22"/>
                <w:szCs w:val="22"/>
              </w:rPr>
              <w:t>549,897</w:t>
            </w:r>
          </w:p>
        </w:tc>
      </w:tr>
      <w:tr w:rsidR="0045103B" w:rsidTr="008A2BFB">
        <w:trPr>
          <w:trHeight w:val="242"/>
        </w:trPr>
        <w:tc>
          <w:tcPr>
            <w:tcW w:w="6442" w:type="dxa"/>
          </w:tcPr>
          <w:p w:rsidR="0045103B" w:rsidRPr="00B24541" w:rsidRDefault="0045103B" w:rsidP="007D1B85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Eastern Plains Community Action Agency</w:t>
            </w:r>
            <w:r w:rsidR="00051579" w:rsidRPr="00B24541">
              <w:rPr>
                <w:sz w:val="22"/>
                <w:szCs w:val="22"/>
              </w:rPr>
              <w:t xml:space="preserve"> (EPCAA)</w:t>
            </w:r>
            <w:r w:rsidRPr="00B24541">
              <w:rPr>
                <w:sz w:val="22"/>
                <w:szCs w:val="22"/>
              </w:rPr>
              <w:tab/>
            </w:r>
          </w:p>
        </w:tc>
        <w:tc>
          <w:tcPr>
            <w:tcW w:w="2665" w:type="dxa"/>
          </w:tcPr>
          <w:p w:rsidR="0045103B" w:rsidRPr="00B24541" w:rsidRDefault="0045103B" w:rsidP="00531214">
            <w:pPr>
              <w:jc w:val="center"/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$</w:t>
            </w:r>
            <w:r w:rsidR="00531214" w:rsidRPr="00B24541">
              <w:rPr>
                <w:sz w:val="22"/>
                <w:szCs w:val="22"/>
              </w:rPr>
              <w:t>170,513</w:t>
            </w:r>
          </w:p>
        </w:tc>
      </w:tr>
      <w:tr w:rsidR="0045103B" w:rsidTr="00051579">
        <w:trPr>
          <w:trHeight w:val="271"/>
        </w:trPr>
        <w:tc>
          <w:tcPr>
            <w:tcW w:w="6442" w:type="dxa"/>
          </w:tcPr>
          <w:p w:rsidR="0045103B" w:rsidRPr="00B24541" w:rsidRDefault="0045103B" w:rsidP="007D1B85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Economic Council Helping Others, Inc.</w:t>
            </w:r>
            <w:r w:rsidR="00051579" w:rsidRPr="00B24541">
              <w:rPr>
                <w:sz w:val="22"/>
                <w:szCs w:val="22"/>
              </w:rPr>
              <w:t xml:space="preserve"> (ECHO)</w:t>
            </w:r>
          </w:p>
        </w:tc>
        <w:tc>
          <w:tcPr>
            <w:tcW w:w="2665" w:type="dxa"/>
          </w:tcPr>
          <w:p w:rsidR="0045103B" w:rsidRPr="00B24541" w:rsidRDefault="0045103B" w:rsidP="00531214">
            <w:pPr>
              <w:jc w:val="center"/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$</w:t>
            </w:r>
            <w:r w:rsidR="00576D21" w:rsidRPr="00B24541">
              <w:rPr>
                <w:sz w:val="22"/>
                <w:szCs w:val="22"/>
              </w:rPr>
              <w:t>2</w:t>
            </w:r>
            <w:r w:rsidR="00531214" w:rsidRPr="00B24541">
              <w:rPr>
                <w:sz w:val="22"/>
                <w:szCs w:val="22"/>
              </w:rPr>
              <w:t>16,424</w:t>
            </w:r>
          </w:p>
        </w:tc>
      </w:tr>
      <w:tr w:rsidR="0045103B" w:rsidTr="00051579">
        <w:trPr>
          <w:trHeight w:val="271"/>
        </w:trPr>
        <w:tc>
          <w:tcPr>
            <w:tcW w:w="6442" w:type="dxa"/>
          </w:tcPr>
          <w:p w:rsidR="0045103B" w:rsidRPr="00B24541" w:rsidRDefault="0045103B" w:rsidP="0023064F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HELP New Mexico</w:t>
            </w:r>
            <w:r w:rsidR="00C8577D" w:rsidRPr="00B24541">
              <w:rPr>
                <w:sz w:val="22"/>
                <w:szCs w:val="22"/>
              </w:rPr>
              <w:t>—10</w:t>
            </w:r>
            <w:r w:rsidRPr="00B24541">
              <w:rPr>
                <w:sz w:val="22"/>
                <w:szCs w:val="22"/>
              </w:rPr>
              <w:t xml:space="preserve"> Counties</w:t>
            </w:r>
          </w:p>
        </w:tc>
        <w:tc>
          <w:tcPr>
            <w:tcW w:w="2665" w:type="dxa"/>
          </w:tcPr>
          <w:p w:rsidR="0045103B" w:rsidRPr="00B24541" w:rsidRDefault="008027B6" w:rsidP="00531214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 xml:space="preserve">          </w:t>
            </w:r>
            <w:r w:rsidR="002A179F">
              <w:rPr>
                <w:sz w:val="22"/>
                <w:szCs w:val="22"/>
              </w:rPr>
              <w:t xml:space="preserve"> </w:t>
            </w:r>
            <w:r w:rsidRPr="00B24541">
              <w:rPr>
                <w:sz w:val="22"/>
                <w:szCs w:val="22"/>
              </w:rPr>
              <w:t>$1,</w:t>
            </w:r>
            <w:r w:rsidR="00531214" w:rsidRPr="00B24541">
              <w:rPr>
                <w:sz w:val="22"/>
                <w:szCs w:val="22"/>
              </w:rPr>
              <w:t>273,022</w:t>
            </w:r>
          </w:p>
        </w:tc>
      </w:tr>
      <w:tr w:rsidR="0045103B" w:rsidTr="00051579">
        <w:trPr>
          <w:trHeight w:val="271"/>
        </w:trPr>
        <w:tc>
          <w:tcPr>
            <w:tcW w:w="6442" w:type="dxa"/>
          </w:tcPr>
          <w:p w:rsidR="0045103B" w:rsidRPr="00B24541" w:rsidRDefault="0045103B" w:rsidP="0023064F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 xml:space="preserve">HELP New Mexico </w:t>
            </w:r>
            <w:r w:rsidR="00BC2C99" w:rsidRPr="00B24541">
              <w:rPr>
                <w:sz w:val="22"/>
                <w:szCs w:val="22"/>
              </w:rPr>
              <w:t>–</w:t>
            </w:r>
            <w:r w:rsidRPr="00B24541">
              <w:rPr>
                <w:sz w:val="22"/>
                <w:szCs w:val="22"/>
              </w:rPr>
              <w:t xml:space="preserve"> Migrant</w:t>
            </w:r>
          </w:p>
        </w:tc>
        <w:tc>
          <w:tcPr>
            <w:tcW w:w="2665" w:type="dxa"/>
          </w:tcPr>
          <w:p w:rsidR="0045103B" w:rsidRPr="00B24541" w:rsidRDefault="0045103B" w:rsidP="004A3F9D">
            <w:pPr>
              <w:jc w:val="center"/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$</w:t>
            </w:r>
            <w:r w:rsidR="00050F3F" w:rsidRPr="00B24541">
              <w:rPr>
                <w:sz w:val="22"/>
                <w:szCs w:val="22"/>
              </w:rPr>
              <w:t xml:space="preserve"> </w:t>
            </w:r>
            <w:r w:rsidR="00C8577D" w:rsidRPr="00B24541">
              <w:rPr>
                <w:sz w:val="22"/>
                <w:szCs w:val="22"/>
              </w:rPr>
              <w:t>79,516</w:t>
            </w:r>
          </w:p>
        </w:tc>
      </w:tr>
      <w:tr w:rsidR="0045103B" w:rsidTr="00051579">
        <w:trPr>
          <w:trHeight w:val="271"/>
        </w:trPr>
        <w:tc>
          <w:tcPr>
            <w:tcW w:w="6442" w:type="dxa"/>
          </w:tcPr>
          <w:p w:rsidR="0045103B" w:rsidRPr="00B24541" w:rsidRDefault="0045103B" w:rsidP="007D1B85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Mid-West Community Action Program</w:t>
            </w:r>
            <w:r w:rsidR="004A74B6" w:rsidRPr="00B24541">
              <w:rPr>
                <w:sz w:val="22"/>
                <w:szCs w:val="22"/>
              </w:rPr>
              <w:t xml:space="preserve"> (MIDWEST)</w:t>
            </w:r>
          </w:p>
        </w:tc>
        <w:tc>
          <w:tcPr>
            <w:tcW w:w="2665" w:type="dxa"/>
          </w:tcPr>
          <w:p w:rsidR="0045103B" w:rsidRPr="00B24541" w:rsidRDefault="0045103B" w:rsidP="00531214">
            <w:pPr>
              <w:jc w:val="center"/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$</w:t>
            </w:r>
            <w:r w:rsidR="00531214" w:rsidRPr="00B24541">
              <w:rPr>
                <w:sz w:val="22"/>
                <w:szCs w:val="22"/>
              </w:rPr>
              <w:t>369,960</w:t>
            </w:r>
          </w:p>
        </w:tc>
      </w:tr>
      <w:tr w:rsidR="0045103B" w:rsidTr="004A5AED">
        <w:trPr>
          <w:trHeight w:val="332"/>
        </w:trPr>
        <w:tc>
          <w:tcPr>
            <w:tcW w:w="6442" w:type="dxa"/>
          </w:tcPr>
          <w:p w:rsidR="0045103B" w:rsidRPr="00B24541" w:rsidRDefault="0045103B" w:rsidP="007D1B85">
            <w:pPr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Southeastern NM Community Action Corp</w:t>
            </w:r>
            <w:r w:rsidR="00051579" w:rsidRPr="00B24541">
              <w:rPr>
                <w:sz w:val="22"/>
                <w:szCs w:val="22"/>
              </w:rPr>
              <w:t xml:space="preserve"> (SNMCAC)</w:t>
            </w:r>
          </w:p>
        </w:tc>
        <w:tc>
          <w:tcPr>
            <w:tcW w:w="2665" w:type="dxa"/>
          </w:tcPr>
          <w:p w:rsidR="0045103B" w:rsidRPr="00B24541" w:rsidRDefault="0045103B" w:rsidP="00531214">
            <w:pPr>
              <w:jc w:val="center"/>
              <w:rPr>
                <w:sz w:val="22"/>
                <w:szCs w:val="22"/>
              </w:rPr>
            </w:pPr>
            <w:r w:rsidRPr="00B24541">
              <w:rPr>
                <w:sz w:val="22"/>
                <w:szCs w:val="22"/>
              </w:rPr>
              <w:t>$</w:t>
            </w:r>
            <w:r w:rsidR="00E846DB" w:rsidRPr="00B24541">
              <w:rPr>
                <w:sz w:val="22"/>
                <w:szCs w:val="22"/>
              </w:rPr>
              <w:t>4</w:t>
            </w:r>
            <w:r w:rsidR="00531214" w:rsidRPr="00B24541">
              <w:rPr>
                <w:sz w:val="22"/>
                <w:szCs w:val="22"/>
              </w:rPr>
              <w:t>07,754</w:t>
            </w:r>
          </w:p>
        </w:tc>
      </w:tr>
    </w:tbl>
    <w:p w:rsidR="00360BE2" w:rsidRPr="00BA4B12" w:rsidRDefault="00360BE2" w:rsidP="00BA4B12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A4B12">
        <w:rPr>
          <w:rFonts w:ascii="Times New Roman" w:hAnsi="Times New Roman"/>
          <w:b/>
          <w:sz w:val="24"/>
          <w:szCs w:val="24"/>
        </w:rPr>
        <w:lastRenderedPageBreak/>
        <w:t>Program Elements</w:t>
      </w:r>
    </w:p>
    <w:p w:rsidR="00AD06EF" w:rsidRPr="00AD06EF" w:rsidRDefault="00AD06EF" w:rsidP="00AD06EF">
      <w:pPr>
        <w:ind w:left="720"/>
      </w:pPr>
    </w:p>
    <w:p w:rsidR="00347B70" w:rsidRPr="00347B70" w:rsidRDefault="00F60C05" w:rsidP="00045992">
      <w:pPr>
        <w:numPr>
          <w:ilvl w:val="0"/>
          <w:numId w:val="21"/>
        </w:numPr>
      </w:pPr>
      <w:r>
        <w:rPr>
          <w:b/>
        </w:rPr>
        <w:t>Services</w:t>
      </w:r>
    </w:p>
    <w:p w:rsidR="00347B70" w:rsidRDefault="00347B70" w:rsidP="00347B70">
      <w:pPr>
        <w:ind w:left="360"/>
        <w:rPr>
          <w:b/>
        </w:rPr>
      </w:pPr>
    </w:p>
    <w:p w:rsidR="00262505" w:rsidRPr="009F43D9" w:rsidRDefault="00347B70" w:rsidP="00347B70">
      <w:pPr>
        <w:numPr>
          <w:ilvl w:val="0"/>
          <w:numId w:val="12"/>
        </w:numPr>
        <w:rPr>
          <w:b/>
        </w:rPr>
      </w:pPr>
      <w:r w:rsidRPr="009F43D9">
        <w:rPr>
          <w:b/>
        </w:rPr>
        <w:t xml:space="preserve">Examples of </w:t>
      </w:r>
      <w:r w:rsidR="004D0D25" w:rsidRPr="009F43D9">
        <w:rPr>
          <w:b/>
        </w:rPr>
        <w:t>CAA Services</w:t>
      </w:r>
      <w:r w:rsidRPr="009F43D9">
        <w:rPr>
          <w:b/>
        </w:rPr>
        <w:t>:</w:t>
      </w:r>
    </w:p>
    <w:p w:rsidR="007148C5" w:rsidRPr="007148C5" w:rsidRDefault="007148C5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>Employment – O</w:t>
      </w:r>
      <w:r w:rsidR="00AD06EF">
        <w:t xml:space="preserve">n the </w:t>
      </w:r>
      <w:r>
        <w:t>J</w:t>
      </w:r>
      <w:r w:rsidR="00AD06EF">
        <w:t xml:space="preserve">ob </w:t>
      </w:r>
      <w:r>
        <w:t>T</w:t>
      </w:r>
      <w:r w:rsidR="00AD06EF">
        <w:t>raining</w:t>
      </w:r>
      <w:r>
        <w:t>, work experience, job placemen</w:t>
      </w:r>
      <w:r w:rsidR="00347B70">
        <w:t>t, counseling, self-employment</w:t>
      </w:r>
    </w:p>
    <w:p w:rsidR="007148C5" w:rsidRPr="007148C5" w:rsidRDefault="007148C5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 xml:space="preserve">Education – Head Start, before and after school programs, vocational training, </w:t>
      </w:r>
      <w:r w:rsidR="00AD06EF">
        <w:t>post-secondary</w:t>
      </w:r>
      <w:r>
        <w:t>, GED, pre-employment certification training,</w:t>
      </w:r>
      <w:r w:rsidR="00347B70">
        <w:t xml:space="preserve"> literacy, school supplies</w:t>
      </w:r>
    </w:p>
    <w:p w:rsidR="007148C5" w:rsidRPr="007148C5" w:rsidRDefault="00B471F7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>Emergency Services – R</w:t>
      </w:r>
      <w:r w:rsidR="007148C5">
        <w:t xml:space="preserve">ental/mortgage assistance, utility assistance, emergency medical assistance, food vouchers and/or boxes, </w:t>
      </w:r>
      <w:r w:rsidR="00347B70">
        <w:t>information and referral</w:t>
      </w:r>
    </w:p>
    <w:p w:rsidR="007148C5" w:rsidRPr="007148C5" w:rsidRDefault="007148C5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>Nutrition – Food Bank, food pantries, food boxes, children and senior meals, summer food progra</w:t>
      </w:r>
      <w:r w:rsidR="00EC2E99">
        <w:t xml:space="preserve">m, child back-pack program, </w:t>
      </w:r>
      <w:r w:rsidR="004D0D25">
        <w:t>delivery of food to home-</w:t>
      </w:r>
      <w:r>
        <w:t>bound seniors and disabled individuals</w:t>
      </w:r>
    </w:p>
    <w:p w:rsidR="007148C5" w:rsidRPr="00B86E43" w:rsidRDefault="007148C5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 xml:space="preserve">Income Management </w:t>
      </w:r>
      <w:r w:rsidR="00B86E43">
        <w:t>–</w:t>
      </w:r>
      <w:r>
        <w:t xml:space="preserve"> </w:t>
      </w:r>
      <w:r w:rsidR="00B86E43">
        <w:t>Free tax preparation services, Individual Development Account</w:t>
      </w:r>
      <w:r w:rsidR="004D0D25">
        <w:t>s</w:t>
      </w:r>
      <w:r w:rsidR="00B86E43">
        <w:t xml:space="preserve"> (IDA), financial counseling and financial literacy classes</w:t>
      </w:r>
    </w:p>
    <w:p w:rsidR="00DC085D" w:rsidRPr="00DC085D" w:rsidRDefault="00B86E43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 xml:space="preserve">Housing – Rehabilitation and weatherization, </w:t>
      </w:r>
      <w:r w:rsidR="00DC085D">
        <w:t xml:space="preserve"> </w:t>
      </w:r>
      <w:r w:rsidR="00A16D93">
        <w:t xml:space="preserve">administrative expenses related to the </w:t>
      </w:r>
      <w:r>
        <w:t>construction of new home</w:t>
      </w:r>
      <w:r w:rsidR="00DC085D">
        <w:t>s</w:t>
      </w:r>
      <w:r w:rsidR="00B34E28">
        <w:t>, home buyers education classes</w:t>
      </w:r>
      <w:r>
        <w:t xml:space="preserve"> </w:t>
      </w:r>
    </w:p>
    <w:p w:rsidR="00B86E43" w:rsidRPr="00B86E43" w:rsidRDefault="00342C51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>Health Initiatives – P</w:t>
      </w:r>
      <w:r w:rsidR="00B86E43">
        <w:t>rescription assistance, Adult Day Services, Covering Kids program, and Head Start—children immunization, medical and dental check-ups information and referral</w:t>
      </w:r>
    </w:p>
    <w:p w:rsidR="00B86E43" w:rsidRPr="00B86E43" w:rsidRDefault="00B86E43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>Build Partnerships – To expand resources and opportunities for low-income individuals and families</w:t>
      </w:r>
    </w:p>
    <w:p w:rsidR="00B86E43" w:rsidRPr="00FD1424" w:rsidRDefault="00B86E43" w:rsidP="00173FD5">
      <w:pPr>
        <w:numPr>
          <w:ilvl w:val="0"/>
          <w:numId w:val="6"/>
        </w:numPr>
        <w:tabs>
          <w:tab w:val="num" w:pos="1440"/>
        </w:tabs>
        <w:rPr>
          <w:b/>
        </w:rPr>
      </w:pPr>
      <w:r>
        <w:t xml:space="preserve">Promote Self-Sufficiency – </w:t>
      </w:r>
      <w:r w:rsidR="00134276">
        <w:t>F</w:t>
      </w:r>
      <w:r>
        <w:t>inancial counseling and budgeting, childcare services, employment and training s</w:t>
      </w:r>
      <w:r w:rsidR="00347B70">
        <w:t>ervices, parenting classes</w:t>
      </w:r>
    </w:p>
    <w:p w:rsidR="005E24C5" w:rsidRDefault="005E24C5" w:rsidP="005E24C5">
      <w:pPr>
        <w:rPr>
          <w:b/>
          <w:sz w:val="28"/>
          <w:szCs w:val="28"/>
        </w:rPr>
      </w:pPr>
    </w:p>
    <w:p w:rsidR="003B7E7F" w:rsidRPr="009F43D9" w:rsidRDefault="003B7E7F" w:rsidP="000E3F7E">
      <w:pPr>
        <w:numPr>
          <w:ilvl w:val="0"/>
          <w:numId w:val="12"/>
        </w:numPr>
        <w:rPr>
          <w:b/>
        </w:rPr>
      </w:pPr>
      <w:r w:rsidRPr="009F43D9">
        <w:rPr>
          <w:b/>
        </w:rPr>
        <w:t>FFY 20</w:t>
      </w:r>
      <w:r w:rsidR="00134276" w:rsidRPr="009F43D9">
        <w:rPr>
          <w:b/>
        </w:rPr>
        <w:t>1</w:t>
      </w:r>
      <w:r w:rsidR="00FF4339" w:rsidRPr="009F43D9">
        <w:rPr>
          <w:b/>
        </w:rPr>
        <w:t>2</w:t>
      </w:r>
      <w:r w:rsidR="00EC2E99" w:rsidRPr="009F43D9">
        <w:rPr>
          <w:b/>
        </w:rPr>
        <w:t xml:space="preserve"> Program Outcome </w:t>
      </w:r>
      <w:r w:rsidRPr="009F43D9">
        <w:rPr>
          <w:b/>
        </w:rPr>
        <w:t xml:space="preserve">Excerpts </w:t>
      </w:r>
    </w:p>
    <w:p w:rsidR="003B7E7F" w:rsidRPr="003B7AA1" w:rsidRDefault="00347B70" w:rsidP="0023064F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>
        <w:t>Funds L</w:t>
      </w:r>
      <w:r w:rsidR="003B7E7F" w:rsidRPr="003B7AA1">
        <w:t xml:space="preserve">everaged </w:t>
      </w:r>
      <w:r>
        <w:t xml:space="preserve">- </w:t>
      </w:r>
      <w:r w:rsidR="003B7E7F" w:rsidRPr="003B7AA1">
        <w:t>$</w:t>
      </w:r>
      <w:r w:rsidR="00FF4339">
        <w:t>47,589,618</w:t>
      </w:r>
      <w:r w:rsidR="003B7E7F" w:rsidRPr="003B7AA1">
        <w:t xml:space="preserve"> of federal, state, local and private funding using CSBG funding </w:t>
      </w:r>
    </w:p>
    <w:p w:rsidR="009449A0" w:rsidRDefault="00347B70" w:rsidP="0023064F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>
        <w:t>Families S</w:t>
      </w:r>
      <w:r w:rsidR="003B7E7F" w:rsidRPr="003B7AA1">
        <w:t>erved</w:t>
      </w:r>
      <w:r>
        <w:t xml:space="preserve"> </w:t>
      </w:r>
      <w:r w:rsidR="00CF3A73">
        <w:t>–</w:t>
      </w:r>
      <w:r>
        <w:t xml:space="preserve"> </w:t>
      </w:r>
    </w:p>
    <w:p w:rsidR="009449A0" w:rsidRDefault="009449A0" w:rsidP="009449A0">
      <w:pPr>
        <w:numPr>
          <w:ilvl w:val="1"/>
          <w:numId w:val="9"/>
        </w:numPr>
      </w:pPr>
      <w:r>
        <w:t xml:space="preserve">Total unduplicated number of families about whom one or more demographic characteristics were obtained: </w:t>
      </w:r>
      <w:r w:rsidR="00B6695E">
        <w:t>17,924</w:t>
      </w:r>
      <w:r>
        <w:t xml:space="preserve"> </w:t>
      </w:r>
    </w:p>
    <w:p w:rsidR="009449A0" w:rsidRDefault="009449A0" w:rsidP="009449A0">
      <w:pPr>
        <w:numPr>
          <w:ilvl w:val="1"/>
          <w:numId w:val="9"/>
        </w:numPr>
      </w:pPr>
      <w:r>
        <w:t xml:space="preserve">Total unduplicated number of families about whom no demographic characteristics were obtained: </w:t>
      </w:r>
      <w:r w:rsidR="00B6695E">
        <w:t>33,986</w:t>
      </w:r>
    </w:p>
    <w:p w:rsidR="00C83354" w:rsidRDefault="00C83354" w:rsidP="00A80D48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>
        <w:t>5 CAAs provided employment assistance</w:t>
      </w:r>
    </w:p>
    <w:p w:rsidR="00C83354" w:rsidRDefault="00B6695E" w:rsidP="00C83354">
      <w:pPr>
        <w:numPr>
          <w:ilvl w:val="1"/>
          <w:numId w:val="9"/>
        </w:numPr>
      </w:pPr>
      <w:r>
        <w:t>409</w:t>
      </w:r>
      <w:r w:rsidR="00C83354">
        <w:t xml:space="preserve"> unemployed participants obtained a job</w:t>
      </w:r>
    </w:p>
    <w:p w:rsidR="00C83354" w:rsidRDefault="00B6695E" w:rsidP="00C83354">
      <w:pPr>
        <w:numPr>
          <w:ilvl w:val="1"/>
          <w:numId w:val="9"/>
        </w:numPr>
      </w:pPr>
      <w:r>
        <w:t>3,888</w:t>
      </w:r>
      <w:r w:rsidR="00C83354">
        <w:t xml:space="preserve"> obtained skills/competencies required for employment  </w:t>
      </w:r>
    </w:p>
    <w:p w:rsidR="00A80D48" w:rsidRDefault="00B6695E" w:rsidP="00A80D48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>
        <w:t>4</w:t>
      </w:r>
      <w:r w:rsidR="00347B70">
        <w:t xml:space="preserve"> CAAs </w:t>
      </w:r>
      <w:r w:rsidR="009449A0">
        <w:t xml:space="preserve">offered </w:t>
      </w:r>
      <w:r w:rsidR="009D56A5">
        <w:t xml:space="preserve">free </w:t>
      </w:r>
      <w:r w:rsidR="003B7E7F" w:rsidRPr="003B7AA1">
        <w:t xml:space="preserve">tax preparation assistance </w:t>
      </w:r>
    </w:p>
    <w:p w:rsidR="003B7E7F" w:rsidRDefault="00B6695E" w:rsidP="00A80D48">
      <w:pPr>
        <w:numPr>
          <w:ilvl w:val="0"/>
          <w:numId w:val="19"/>
        </w:numPr>
      </w:pPr>
      <w:r>
        <w:t>6,917</w:t>
      </w:r>
      <w:r w:rsidR="009449A0" w:rsidRPr="003B7AA1">
        <w:t xml:space="preserve"> </w:t>
      </w:r>
      <w:r w:rsidR="003B7E7F" w:rsidRPr="003B7AA1">
        <w:t>participants</w:t>
      </w:r>
      <w:r w:rsidR="00A80D48">
        <w:t xml:space="preserve"> were served</w:t>
      </w:r>
    </w:p>
    <w:p w:rsidR="00A80D48" w:rsidRPr="003B7AA1" w:rsidRDefault="00D44114" w:rsidP="00A80D48">
      <w:pPr>
        <w:numPr>
          <w:ilvl w:val="0"/>
          <w:numId w:val="19"/>
        </w:numPr>
      </w:pPr>
      <w:r>
        <w:t>3,945</w:t>
      </w:r>
      <w:r w:rsidR="00A80D48">
        <w:t xml:space="preserve"> participants qualified for tax credits</w:t>
      </w:r>
    </w:p>
    <w:p w:rsidR="003B7E7F" w:rsidRDefault="003B7E7F" w:rsidP="0023064F">
      <w:pPr>
        <w:numPr>
          <w:ilvl w:val="2"/>
          <w:numId w:val="2"/>
        </w:numPr>
        <w:tabs>
          <w:tab w:val="clear" w:pos="2160"/>
          <w:tab w:val="num" w:pos="1440"/>
        </w:tabs>
        <w:ind w:left="1440"/>
      </w:pPr>
      <w:r w:rsidRPr="003B7AA1">
        <w:t>$</w:t>
      </w:r>
      <w:r w:rsidR="00D44114">
        <w:t>2,644,475</w:t>
      </w:r>
      <w:r w:rsidRPr="003B7AA1">
        <w:t xml:space="preserve"> in federal and state tax credits realized</w:t>
      </w:r>
    </w:p>
    <w:p w:rsidR="00383615" w:rsidRDefault="00383615" w:rsidP="00383615">
      <w:pPr>
        <w:numPr>
          <w:ilvl w:val="1"/>
          <w:numId w:val="2"/>
        </w:numPr>
        <w:tabs>
          <w:tab w:val="clear" w:pos="1440"/>
          <w:tab w:val="num" w:pos="1080"/>
        </w:tabs>
        <w:ind w:hanging="720"/>
      </w:pPr>
      <w:r>
        <w:t>3 CAAs offered asset development services</w:t>
      </w:r>
    </w:p>
    <w:p w:rsidR="00383615" w:rsidRDefault="00383615" w:rsidP="00383615">
      <w:pPr>
        <w:pStyle w:val="ListParagraph"/>
        <w:numPr>
          <w:ilvl w:val="2"/>
          <w:numId w:val="2"/>
        </w:numPr>
        <w:tabs>
          <w:tab w:val="clear" w:pos="2160"/>
          <w:tab w:val="num" w:pos="1440"/>
        </w:tabs>
        <w:ind w:hanging="1080"/>
        <w:rPr>
          <w:rFonts w:ascii="Times New Roman" w:eastAsia="Times New Roman" w:hAnsi="Times New Roman"/>
          <w:sz w:val="24"/>
          <w:szCs w:val="24"/>
        </w:rPr>
      </w:pPr>
      <w:r w:rsidRPr="00383615">
        <w:rPr>
          <w:rFonts w:ascii="Times New Roman" w:hAnsi="Times New Roman"/>
          <w:sz w:val="24"/>
          <w:szCs w:val="24"/>
        </w:rPr>
        <w:t>2</w:t>
      </w:r>
      <w:r w:rsidR="00D44114">
        <w:rPr>
          <w:rFonts w:ascii="Times New Roman" w:hAnsi="Times New Roman"/>
          <w:sz w:val="24"/>
          <w:szCs w:val="24"/>
        </w:rPr>
        <w:t>2</w:t>
      </w:r>
      <w:r w:rsidRPr="00383615">
        <w:rPr>
          <w:rFonts w:ascii="Times New Roman" w:hAnsi="Times New Roman"/>
          <w:sz w:val="24"/>
          <w:szCs w:val="24"/>
        </w:rPr>
        <w:t xml:space="preserve"> individuals</w:t>
      </w:r>
      <w:r w:rsidR="00EC2E99">
        <w:rPr>
          <w:rFonts w:ascii="Times New Roman" w:eastAsia="Times New Roman" w:hAnsi="Times New Roman"/>
          <w:sz w:val="24"/>
          <w:szCs w:val="24"/>
        </w:rPr>
        <w:t xml:space="preserve"> started </w:t>
      </w:r>
      <w:r>
        <w:rPr>
          <w:rFonts w:ascii="Times New Roman" w:eastAsia="Times New Roman" w:hAnsi="Times New Roman"/>
          <w:sz w:val="24"/>
          <w:szCs w:val="24"/>
        </w:rPr>
        <w:t xml:space="preserve"> small business</w:t>
      </w:r>
      <w:r w:rsidR="00EC2E99">
        <w:rPr>
          <w:rFonts w:ascii="Times New Roman" w:eastAsia="Times New Roman" w:hAnsi="Times New Roman"/>
          <w:sz w:val="24"/>
          <w:szCs w:val="24"/>
        </w:rPr>
        <w:t>es</w:t>
      </w:r>
      <w:r>
        <w:rPr>
          <w:rFonts w:ascii="Times New Roman" w:eastAsia="Times New Roman" w:hAnsi="Times New Roman"/>
          <w:sz w:val="24"/>
          <w:szCs w:val="24"/>
        </w:rPr>
        <w:t xml:space="preserve"> through accumulated savings</w:t>
      </w:r>
    </w:p>
    <w:p w:rsidR="00383615" w:rsidRDefault="00D44114" w:rsidP="00383615">
      <w:pPr>
        <w:pStyle w:val="ListParagraph"/>
        <w:numPr>
          <w:ilvl w:val="2"/>
          <w:numId w:val="2"/>
        </w:numPr>
        <w:tabs>
          <w:tab w:val="clear" w:pos="2160"/>
          <w:tab w:val="num" w:pos="1440"/>
        </w:tabs>
        <w:ind w:hanging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383615">
        <w:rPr>
          <w:rFonts w:ascii="Times New Roman" w:eastAsia="Times New Roman" w:hAnsi="Times New Roman"/>
          <w:sz w:val="24"/>
          <w:szCs w:val="24"/>
        </w:rPr>
        <w:t xml:space="preserve"> individuals purs</w:t>
      </w:r>
      <w:r w:rsidR="00B471F7">
        <w:rPr>
          <w:rFonts w:ascii="Times New Roman" w:eastAsia="Times New Roman" w:hAnsi="Times New Roman"/>
          <w:sz w:val="24"/>
          <w:szCs w:val="24"/>
        </w:rPr>
        <w:t>u</w:t>
      </w:r>
      <w:r w:rsidR="00383615">
        <w:rPr>
          <w:rFonts w:ascii="Times New Roman" w:eastAsia="Times New Roman" w:hAnsi="Times New Roman"/>
          <w:sz w:val="24"/>
          <w:szCs w:val="24"/>
        </w:rPr>
        <w:t>ed post-secondary education through accumulated savings</w:t>
      </w:r>
    </w:p>
    <w:p w:rsidR="00383615" w:rsidRDefault="00D44114" w:rsidP="00383615">
      <w:pPr>
        <w:pStyle w:val="ListParagraph"/>
        <w:numPr>
          <w:ilvl w:val="2"/>
          <w:numId w:val="2"/>
        </w:numPr>
        <w:tabs>
          <w:tab w:val="clear" w:pos="2160"/>
          <w:tab w:val="num" w:pos="1440"/>
        </w:tabs>
        <w:ind w:hanging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FE0BDC">
        <w:rPr>
          <w:rFonts w:ascii="Times New Roman" w:eastAsia="Times New Roman" w:hAnsi="Times New Roman"/>
          <w:sz w:val="24"/>
          <w:szCs w:val="24"/>
        </w:rPr>
        <w:t xml:space="preserve"> families purchased </w:t>
      </w:r>
      <w:r w:rsidR="00383615">
        <w:rPr>
          <w:rFonts w:ascii="Times New Roman" w:eastAsia="Times New Roman" w:hAnsi="Times New Roman"/>
          <w:sz w:val="24"/>
          <w:szCs w:val="24"/>
        </w:rPr>
        <w:t xml:space="preserve"> home</w:t>
      </w:r>
      <w:r w:rsidR="00FE0BDC">
        <w:rPr>
          <w:rFonts w:ascii="Times New Roman" w:eastAsia="Times New Roman" w:hAnsi="Times New Roman"/>
          <w:sz w:val="24"/>
          <w:szCs w:val="24"/>
        </w:rPr>
        <w:t>s</w:t>
      </w:r>
      <w:r w:rsidR="00383615">
        <w:rPr>
          <w:rFonts w:ascii="Times New Roman" w:eastAsia="Times New Roman" w:hAnsi="Times New Roman"/>
          <w:sz w:val="24"/>
          <w:szCs w:val="24"/>
        </w:rPr>
        <w:t xml:space="preserve"> through accumulated savings</w:t>
      </w:r>
    </w:p>
    <w:p w:rsidR="00383615" w:rsidRDefault="00D44114" w:rsidP="00383615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3615" w:rsidRPr="00383615">
        <w:rPr>
          <w:rFonts w:ascii="Times New Roman" w:hAnsi="Times New Roman"/>
          <w:sz w:val="24"/>
          <w:szCs w:val="24"/>
        </w:rPr>
        <w:t xml:space="preserve"> CAAs</w:t>
      </w:r>
      <w:r w:rsidR="00EA5B5A">
        <w:rPr>
          <w:rFonts w:ascii="Times New Roman" w:hAnsi="Times New Roman"/>
          <w:sz w:val="24"/>
          <w:szCs w:val="24"/>
        </w:rPr>
        <w:t xml:space="preserve"> offered home weatherization/rehabilitation services</w:t>
      </w:r>
    </w:p>
    <w:p w:rsidR="00EA5B5A" w:rsidRDefault="00D44114" w:rsidP="00EA5B5A">
      <w:pPr>
        <w:pStyle w:val="ListParagraph"/>
        <w:numPr>
          <w:ilvl w:val="1"/>
          <w:numId w:val="27"/>
        </w:num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464</w:t>
      </w:r>
      <w:r w:rsidR="00BF5EE3">
        <w:rPr>
          <w:rFonts w:ascii="Times New Roman" w:hAnsi="Times New Roman"/>
          <w:sz w:val="24"/>
          <w:szCs w:val="24"/>
        </w:rPr>
        <w:t xml:space="preserve"> homes were improved</w:t>
      </w:r>
    </w:p>
    <w:p w:rsidR="00EA5B5A" w:rsidRDefault="00EA5B5A" w:rsidP="00EA5B5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 CAAs offered assistance to vulnerable individuals </w:t>
      </w:r>
      <w:r w:rsidR="005064B4">
        <w:rPr>
          <w:rFonts w:ascii="Times New Roman" w:hAnsi="Times New Roman"/>
          <w:sz w:val="24"/>
          <w:szCs w:val="24"/>
        </w:rPr>
        <w:t>to help them maintain an independent living situation</w:t>
      </w:r>
    </w:p>
    <w:p w:rsidR="005064B4" w:rsidRDefault="005064B4" w:rsidP="005064B4">
      <w:pPr>
        <w:pStyle w:val="ListParagraph"/>
        <w:numPr>
          <w:ilvl w:val="1"/>
          <w:numId w:val="27"/>
        </w:num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4114">
        <w:rPr>
          <w:rFonts w:ascii="Times New Roman" w:hAnsi="Times New Roman"/>
          <w:sz w:val="24"/>
          <w:szCs w:val="24"/>
        </w:rPr>
        <w:t>9,849</w:t>
      </w:r>
      <w:r>
        <w:rPr>
          <w:rFonts w:ascii="Times New Roman" w:hAnsi="Times New Roman"/>
          <w:sz w:val="24"/>
          <w:szCs w:val="24"/>
        </w:rPr>
        <w:t xml:space="preserve"> seniors served</w:t>
      </w:r>
    </w:p>
    <w:p w:rsidR="005064B4" w:rsidRPr="00383615" w:rsidRDefault="005064B4" w:rsidP="005064B4">
      <w:pPr>
        <w:pStyle w:val="ListParagraph"/>
        <w:numPr>
          <w:ilvl w:val="1"/>
          <w:numId w:val="27"/>
        </w:num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</w:t>
      </w:r>
      <w:r w:rsidR="00D44114">
        <w:rPr>
          <w:rFonts w:ascii="Times New Roman" w:hAnsi="Times New Roman"/>
          <w:sz w:val="24"/>
          <w:szCs w:val="24"/>
        </w:rPr>
        <w:t>592</w:t>
      </w:r>
      <w:r>
        <w:rPr>
          <w:rFonts w:ascii="Times New Roman" w:hAnsi="Times New Roman"/>
          <w:sz w:val="24"/>
          <w:szCs w:val="24"/>
        </w:rPr>
        <w:t xml:space="preserve"> disabled individuals served</w:t>
      </w:r>
    </w:p>
    <w:p w:rsidR="003B7E7F" w:rsidRPr="003B7AA1" w:rsidRDefault="00D44114" w:rsidP="0023064F">
      <w:pPr>
        <w:numPr>
          <w:ilvl w:val="0"/>
          <w:numId w:val="10"/>
        </w:numPr>
        <w:tabs>
          <w:tab w:val="clear" w:pos="2160"/>
          <w:tab w:val="num" w:pos="1080"/>
        </w:tabs>
        <w:ind w:left="1080"/>
      </w:pPr>
      <w:r>
        <w:t>4</w:t>
      </w:r>
      <w:r w:rsidR="003B7E7F" w:rsidRPr="003B7AA1">
        <w:t xml:space="preserve"> CAAs </w:t>
      </w:r>
      <w:r w:rsidR="00A80D48">
        <w:t>provided emergency food assistance</w:t>
      </w:r>
    </w:p>
    <w:p w:rsidR="00A80D48" w:rsidRDefault="009D56A5" w:rsidP="0023064F">
      <w:pPr>
        <w:numPr>
          <w:ilvl w:val="2"/>
          <w:numId w:val="2"/>
        </w:numPr>
        <w:tabs>
          <w:tab w:val="clear" w:pos="2160"/>
          <w:tab w:val="num" w:pos="1440"/>
        </w:tabs>
        <w:ind w:left="1440"/>
      </w:pPr>
      <w:r>
        <w:t>3</w:t>
      </w:r>
      <w:r w:rsidR="00D44114">
        <w:t>8,649</w:t>
      </w:r>
      <w:r w:rsidR="00A80D48">
        <w:t xml:space="preserve"> individuals received emergency food</w:t>
      </w:r>
    </w:p>
    <w:p w:rsidR="006C0FFF" w:rsidRDefault="00D44114" w:rsidP="006C0FFF">
      <w:pPr>
        <w:numPr>
          <w:ilvl w:val="0"/>
          <w:numId w:val="10"/>
        </w:numPr>
        <w:tabs>
          <w:tab w:val="clear" w:pos="2160"/>
          <w:tab w:val="num" w:pos="1080"/>
        </w:tabs>
        <w:ind w:hanging="1440"/>
      </w:pPr>
      <w:r>
        <w:t>6</w:t>
      </w:r>
      <w:r w:rsidR="006C0FFF">
        <w:t xml:space="preserve"> CAAs reported</w:t>
      </w:r>
    </w:p>
    <w:p w:rsidR="006C0FFF" w:rsidRPr="003B7AA1" w:rsidRDefault="00D44114" w:rsidP="006C0FFF">
      <w:pPr>
        <w:numPr>
          <w:ilvl w:val="2"/>
          <w:numId w:val="2"/>
        </w:numPr>
        <w:tabs>
          <w:tab w:val="clear" w:pos="2160"/>
          <w:tab w:val="num" w:pos="1440"/>
        </w:tabs>
        <w:ind w:left="1440"/>
      </w:pPr>
      <w:r>
        <w:t>6,303</w:t>
      </w:r>
      <w:r w:rsidR="006C0FFF">
        <w:t xml:space="preserve"> individuals received emergency utility assistance</w:t>
      </w:r>
    </w:p>
    <w:p w:rsidR="00CF3A73" w:rsidRDefault="00AC39C5" w:rsidP="00CF3A73">
      <w:pPr>
        <w:numPr>
          <w:ilvl w:val="0"/>
          <w:numId w:val="10"/>
        </w:numPr>
        <w:tabs>
          <w:tab w:val="clear" w:pos="2160"/>
          <w:tab w:val="num" w:pos="1080"/>
        </w:tabs>
        <w:ind w:hanging="1440"/>
      </w:pPr>
      <w:r>
        <w:t>6</w:t>
      </w:r>
      <w:r w:rsidR="00CF3A73">
        <w:t xml:space="preserve"> CAAs reported </w:t>
      </w:r>
    </w:p>
    <w:p w:rsidR="00250AD3" w:rsidRDefault="009D56A5" w:rsidP="0023064F">
      <w:pPr>
        <w:numPr>
          <w:ilvl w:val="2"/>
          <w:numId w:val="2"/>
        </w:numPr>
        <w:tabs>
          <w:tab w:val="clear" w:pos="2160"/>
          <w:tab w:val="num" w:pos="1440"/>
        </w:tabs>
        <w:ind w:left="1440"/>
      </w:pPr>
      <w:r>
        <w:t>1</w:t>
      </w:r>
      <w:r w:rsidR="00AC39C5">
        <w:t>3,719</w:t>
      </w:r>
      <w:r w:rsidR="00250AD3">
        <w:t xml:space="preserve"> children received adequate nutrition to improve health and physical development</w:t>
      </w:r>
    </w:p>
    <w:p w:rsidR="00262505" w:rsidRDefault="00AC39C5" w:rsidP="0023064F">
      <w:pPr>
        <w:numPr>
          <w:ilvl w:val="2"/>
          <w:numId w:val="2"/>
        </w:numPr>
        <w:tabs>
          <w:tab w:val="clear" w:pos="2160"/>
          <w:tab w:val="num" w:pos="1440"/>
        </w:tabs>
        <w:ind w:left="1440"/>
      </w:pPr>
      <w:r>
        <w:t>4,096</w:t>
      </w:r>
      <w:r w:rsidR="003B7E7F" w:rsidRPr="003B7AA1">
        <w:t xml:space="preserve"> children enrolled in pre-school activities to develop school readiness skills</w:t>
      </w:r>
    </w:p>
    <w:p w:rsidR="005064B4" w:rsidRDefault="0009651B" w:rsidP="005064B4">
      <w:pPr>
        <w:numPr>
          <w:ilvl w:val="1"/>
          <w:numId w:val="2"/>
        </w:numPr>
        <w:tabs>
          <w:tab w:val="clear" w:pos="1440"/>
          <w:tab w:val="num" w:pos="1080"/>
        </w:tabs>
        <w:ind w:hanging="720"/>
      </w:pPr>
      <w:r>
        <w:t>5</w:t>
      </w:r>
      <w:r w:rsidR="005064B4">
        <w:t xml:space="preserve"> CAAs distributed </w:t>
      </w:r>
    </w:p>
    <w:p w:rsidR="005064B4" w:rsidRDefault="0009651B" w:rsidP="005064B4">
      <w:pPr>
        <w:numPr>
          <w:ilvl w:val="2"/>
          <w:numId w:val="2"/>
        </w:numPr>
        <w:tabs>
          <w:tab w:val="clear" w:pos="2160"/>
          <w:tab w:val="num" w:pos="1440"/>
        </w:tabs>
        <w:ind w:hanging="1080"/>
      </w:pPr>
      <w:r>
        <w:t>650,614</w:t>
      </w:r>
      <w:r w:rsidR="005064B4">
        <w:t xml:space="preserve"> food boxes</w:t>
      </w:r>
    </w:p>
    <w:p w:rsidR="005064B4" w:rsidRDefault="005064B4" w:rsidP="005064B4">
      <w:pPr>
        <w:numPr>
          <w:ilvl w:val="2"/>
          <w:numId w:val="2"/>
        </w:numPr>
        <w:tabs>
          <w:tab w:val="clear" w:pos="2160"/>
          <w:tab w:val="num" w:pos="1440"/>
        </w:tabs>
        <w:ind w:hanging="1080"/>
      </w:pPr>
      <w:r>
        <w:t>6,</w:t>
      </w:r>
      <w:r w:rsidR="0009651B">
        <w:t>138,803</w:t>
      </w:r>
      <w:r>
        <w:t xml:space="preserve"> pounds of food</w:t>
      </w:r>
    </w:p>
    <w:p w:rsidR="006C0FFF" w:rsidRDefault="006C0FFF" w:rsidP="00446981"/>
    <w:p w:rsidR="006C0FFF" w:rsidRPr="00B24541" w:rsidRDefault="006C0FFF" w:rsidP="00A22267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Times New Roman" w:hAnsi="Times New Roman"/>
          <w:b/>
          <w:sz w:val="24"/>
          <w:szCs w:val="24"/>
        </w:rPr>
      </w:pPr>
      <w:r w:rsidRPr="00B24541">
        <w:rPr>
          <w:rFonts w:ascii="Times New Roman" w:hAnsi="Times New Roman"/>
          <w:b/>
          <w:sz w:val="24"/>
          <w:szCs w:val="24"/>
        </w:rPr>
        <w:t>Current Events</w:t>
      </w:r>
    </w:p>
    <w:p w:rsidR="00F708E2" w:rsidRPr="00C270B7" w:rsidRDefault="00F708E2" w:rsidP="00F708E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22267" w:rsidRPr="003D0479" w:rsidRDefault="00E12C87" w:rsidP="00A22267">
      <w:pPr>
        <w:pStyle w:val="ListParagraph"/>
        <w:numPr>
          <w:ilvl w:val="0"/>
          <w:numId w:val="25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CSBG Funding </w:t>
      </w:r>
      <w:r w:rsidR="0064014A">
        <w:rPr>
          <w:rFonts w:ascii="Times New Roman" w:hAnsi="Times New Roman"/>
          <w:sz w:val="24"/>
          <w:szCs w:val="24"/>
        </w:rPr>
        <w:t>and Performance</w:t>
      </w:r>
      <w:r w:rsidR="00237657">
        <w:rPr>
          <w:rFonts w:ascii="Times New Roman" w:hAnsi="Times New Roman"/>
          <w:sz w:val="24"/>
          <w:szCs w:val="24"/>
        </w:rPr>
        <w:t xml:space="preserve"> </w:t>
      </w:r>
      <w:r w:rsidR="00DB6566">
        <w:rPr>
          <w:rFonts w:ascii="Times New Roman" w:hAnsi="Times New Roman"/>
          <w:sz w:val="24"/>
          <w:szCs w:val="24"/>
        </w:rPr>
        <w:t>Management</w:t>
      </w:r>
      <w:r w:rsidR="00A22267" w:rsidRPr="003D0479">
        <w:rPr>
          <w:rFonts w:ascii="Times New Roman" w:hAnsi="Times New Roman"/>
          <w:sz w:val="24"/>
          <w:szCs w:val="24"/>
        </w:rPr>
        <w:t xml:space="preserve"> </w:t>
      </w:r>
    </w:p>
    <w:p w:rsidR="00DF43D4" w:rsidRPr="00924861" w:rsidRDefault="000C57F4" w:rsidP="007B50EF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NM’s</w:t>
      </w:r>
      <w:r w:rsidR="007A3B69">
        <w:rPr>
          <w:rFonts w:ascii="Times New Roman" w:hAnsi="Times New Roman"/>
          <w:sz w:val="24"/>
          <w:szCs w:val="24"/>
        </w:rPr>
        <w:t xml:space="preserve"> </w:t>
      </w:r>
      <w:r w:rsidR="00E454CD">
        <w:rPr>
          <w:rFonts w:ascii="Times New Roman" w:hAnsi="Times New Roman"/>
          <w:sz w:val="24"/>
          <w:szCs w:val="24"/>
        </w:rPr>
        <w:t xml:space="preserve">final </w:t>
      </w:r>
      <w:r w:rsidR="00A22267" w:rsidRPr="003D0479">
        <w:rPr>
          <w:rFonts w:ascii="Times New Roman" w:hAnsi="Times New Roman"/>
          <w:sz w:val="24"/>
          <w:szCs w:val="24"/>
        </w:rPr>
        <w:t>FFY1</w:t>
      </w:r>
      <w:r w:rsidR="00E12C87">
        <w:rPr>
          <w:rFonts w:ascii="Times New Roman" w:hAnsi="Times New Roman"/>
          <w:sz w:val="24"/>
          <w:szCs w:val="24"/>
        </w:rPr>
        <w:t>4</w:t>
      </w:r>
      <w:r w:rsidR="00EB1558">
        <w:rPr>
          <w:rFonts w:ascii="Times New Roman" w:hAnsi="Times New Roman"/>
          <w:sz w:val="24"/>
          <w:szCs w:val="24"/>
        </w:rPr>
        <w:t xml:space="preserve"> funding</w:t>
      </w:r>
      <w:r w:rsidR="00F8488F">
        <w:rPr>
          <w:rFonts w:ascii="Times New Roman" w:hAnsi="Times New Roman"/>
          <w:sz w:val="24"/>
          <w:szCs w:val="24"/>
        </w:rPr>
        <w:t xml:space="preserve"> </w:t>
      </w:r>
      <w:r w:rsidR="00E12C87">
        <w:rPr>
          <w:rFonts w:ascii="Times New Roman" w:hAnsi="Times New Roman"/>
          <w:sz w:val="24"/>
          <w:szCs w:val="24"/>
        </w:rPr>
        <w:t xml:space="preserve">level is </w:t>
      </w:r>
      <w:r w:rsidR="007A3B69">
        <w:rPr>
          <w:rFonts w:ascii="Times New Roman" w:hAnsi="Times New Roman"/>
          <w:sz w:val="24"/>
          <w:szCs w:val="24"/>
        </w:rPr>
        <w:t>unknown. A Continuing Resolution</w:t>
      </w:r>
      <w:r w:rsidR="000F71CC">
        <w:rPr>
          <w:rFonts w:ascii="Times New Roman" w:hAnsi="Times New Roman"/>
          <w:sz w:val="24"/>
          <w:szCs w:val="24"/>
        </w:rPr>
        <w:t xml:space="preserve"> (CR)</w:t>
      </w:r>
      <w:r w:rsidR="007A3B69">
        <w:rPr>
          <w:rFonts w:ascii="Times New Roman" w:hAnsi="Times New Roman"/>
          <w:sz w:val="24"/>
          <w:szCs w:val="24"/>
        </w:rPr>
        <w:t xml:space="preserve"> is in effect through January 15, 2014. </w:t>
      </w:r>
      <w:r w:rsidR="00CE4C5B">
        <w:rPr>
          <w:rFonts w:ascii="Times New Roman" w:hAnsi="Times New Roman"/>
          <w:color w:val="000000"/>
          <w:sz w:val="24"/>
          <w:szCs w:val="24"/>
        </w:rPr>
        <w:t>NM’s allotment for the period covered by the CR is $1,027,375.</w:t>
      </w:r>
      <w:r w:rsidR="007B50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4861" w:rsidRPr="007B50EF" w:rsidRDefault="00924861" w:rsidP="007B50EF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FFY 13 Program Outcomes will be available in April 2014.</w:t>
      </w:r>
    </w:p>
    <w:p w:rsidR="00DF43D4" w:rsidRPr="000069EB" w:rsidRDefault="00CA5830" w:rsidP="000069EB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HHS O</w:t>
      </w:r>
      <w:r w:rsidR="00DF43D4" w:rsidRPr="003D0479">
        <w:rPr>
          <w:rFonts w:ascii="Times New Roman" w:hAnsi="Times New Roman"/>
          <w:sz w:val="24"/>
          <w:szCs w:val="24"/>
        </w:rPr>
        <w:t xml:space="preserve">ffice of Community Services (OCS) </w:t>
      </w:r>
      <w:r w:rsidR="00F438CB">
        <w:rPr>
          <w:rFonts w:ascii="Times New Roman" w:hAnsi="Times New Roman"/>
          <w:sz w:val="24"/>
          <w:szCs w:val="24"/>
        </w:rPr>
        <w:t xml:space="preserve">has received proposed organizational standards for </w:t>
      </w:r>
      <w:r w:rsidR="000C57F4">
        <w:rPr>
          <w:rFonts w:ascii="Times New Roman" w:hAnsi="Times New Roman"/>
          <w:sz w:val="24"/>
          <w:szCs w:val="24"/>
        </w:rPr>
        <w:t>CAAs and</w:t>
      </w:r>
      <w:r w:rsidR="00F438CB">
        <w:rPr>
          <w:rFonts w:ascii="Times New Roman" w:hAnsi="Times New Roman"/>
          <w:sz w:val="24"/>
          <w:szCs w:val="24"/>
        </w:rPr>
        <w:t xml:space="preserve"> </w:t>
      </w:r>
      <w:r w:rsidR="00DB6566">
        <w:rPr>
          <w:rFonts w:ascii="Times New Roman" w:hAnsi="Times New Roman"/>
          <w:sz w:val="24"/>
          <w:szCs w:val="24"/>
        </w:rPr>
        <w:t xml:space="preserve">proposed </w:t>
      </w:r>
      <w:r w:rsidR="00F438CB">
        <w:rPr>
          <w:rFonts w:ascii="Times New Roman" w:hAnsi="Times New Roman"/>
          <w:sz w:val="24"/>
          <w:szCs w:val="24"/>
        </w:rPr>
        <w:t>performance m</w:t>
      </w:r>
      <w:r w:rsidR="007D6489">
        <w:rPr>
          <w:rFonts w:ascii="Times New Roman" w:hAnsi="Times New Roman"/>
          <w:sz w:val="24"/>
          <w:szCs w:val="24"/>
        </w:rPr>
        <w:t>easures for CSBG State Offices.</w:t>
      </w:r>
      <w:r w:rsidR="00462C3B">
        <w:rPr>
          <w:rFonts w:ascii="Times New Roman" w:hAnsi="Times New Roman"/>
          <w:sz w:val="24"/>
          <w:szCs w:val="24"/>
        </w:rPr>
        <w:t xml:space="preserve"> </w:t>
      </w:r>
      <w:r w:rsidR="002C5BD8">
        <w:rPr>
          <w:rFonts w:ascii="Times New Roman" w:hAnsi="Times New Roman"/>
          <w:sz w:val="24"/>
          <w:szCs w:val="24"/>
        </w:rPr>
        <w:t>OCS</w:t>
      </w:r>
      <w:r w:rsidR="00924861">
        <w:rPr>
          <w:rFonts w:ascii="Times New Roman" w:hAnsi="Times New Roman"/>
          <w:sz w:val="24"/>
          <w:szCs w:val="24"/>
        </w:rPr>
        <w:t xml:space="preserve"> plans </w:t>
      </w:r>
      <w:r w:rsidR="002A179F">
        <w:rPr>
          <w:rFonts w:ascii="Times New Roman" w:hAnsi="Times New Roman"/>
          <w:sz w:val="24"/>
          <w:szCs w:val="24"/>
        </w:rPr>
        <w:t>to provide guidance</w:t>
      </w:r>
      <w:r w:rsidR="00462C3B">
        <w:rPr>
          <w:rFonts w:ascii="Times New Roman" w:hAnsi="Times New Roman"/>
          <w:sz w:val="24"/>
          <w:szCs w:val="24"/>
        </w:rPr>
        <w:t xml:space="preserve"> on implementing the CAA </w:t>
      </w:r>
      <w:r w:rsidR="00C733F7">
        <w:rPr>
          <w:rFonts w:ascii="Times New Roman" w:hAnsi="Times New Roman"/>
          <w:sz w:val="24"/>
          <w:szCs w:val="24"/>
        </w:rPr>
        <w:t>standards and State Office performance measures.</w:t>
      </w:r>
    </w:p>
    <w:p w:rsidR="009762C9" w:rsidRPr="009762C9" w:rsidRDefault="009762C9" w:rsidP="009762C9">
      <w:pPr>
        <w:pStyle w:val="NormalWeb"/>
        <w:ind w:left="360"/>
        <w:rPr>
          <w:rFonts w:eastAsia="Calibri"/>
        </w:rPr>
      </w:pPr>
    </w:p>
    <w:p w:rsidR="00446981" w:rsidRPr="00B24541" w:rsidRDefault="00B24541" w:rsidP="00A22267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hanging="720"/>
        <w:contextualSpacing/>
        <w:rPr>
          <w:rFonts w:ascii="Times New Roman" w:hAnsi="Times New Roman"/>
          <w:b/>
          <w:sz w:val="24"/>
          <w:szCs w:val="24"/>
        </w:rPr>
      </w:pPr>
      <w:r w:rsidRPr="00B24541">
        <w:rPr>
          <w:rFonts w:ascii="Times New Roman" w:hAnsi="Times New Roman"/>
          <w:b/>
          <w:sz w:val="24"/>
          <w:szCs w:val="24"/>
        </w:rPr>
        <w:t xml:space="preserve">Contact </w:t>
      </w:r>
      <w:r w:rsidR="00446981" w:rsidRPr="00B24541">
        <w:rPr>
          <w:rFonts w:ascii="Times New Roman" w:hAnsi="Times New Roman"/>
          <w:b/>
          <w:sz w:val="24"/>
          <w:szCs w:val="24"/>
        </w:rPr>
        <w:t>information:</w:t>
      </w:r>
      <w:r w:rsidR="00446981" w:rsidRPr="00B24541">
        <w:rPr>
          <w:rFonts w:ascii="Times New Roman" w:hAnsi="Times New Roman"/>
          <w:b/>
          <w:sz w:val="24"/>
          <w:szCs w:val="24"/>
        </w:rPr>
        <w:tab/>
      </w:r>
    </w:p>
    <w:p w:rsidR="00B24541" w:rsidRDefault="00B24541" w:rsidP="00A22267">
      <w:pPr>
        <w:ind w:firstLine="360"/>
        <w:rPr>
          <w:bCs/>
          <w:iCs/>
        </w:rPr>
      </w:pPr>
    </w:p>
    <w:p w:rsidR="00446981" w:rsidRPr="00A22267" w:rsidRDefault="00D11742" w:rsidP="00A22267">
      <w:pPr>
        <w:ind w:firstLine="360"/>
        <w:rPr>
          <w:bCs/>
          <w:iCs/>
        </w:rPr>
      </w:pPr>
      <w:r>
        <w:rPr>
          <w:bCs/>
          <w:iCs/>
        </w:rPr>
        <w:t>Bill Wuestenhagen, Management Analyst</w:t>
      </w:r>
    </w:p>
    <w:p w:rsidR="002A179F" w:rsidRDefault="002A179F" w:rsidP="00A22267">
      <w:pPr>
        <w:ind w:firstLine="360"/>
        <w:rPr>
          <w:bCs/>
          <w:iCs/>
        </w:rPr>
      </w:pPr>
      <w:r>
        <w:rPr>
          <w:bCs/>
          <w:iCs/>
        </w:rPr>
        <w:t>CSBG State Office</w:t>
      </w:r>
    </w:p>
    <w:p w:rsidR="002A179F" w:rsidRDefault="002A179F" w:rsidP="00A22267">
      <w:pPr>
        <w:ind w:firstLine="360"/>
        <w:rPr>
          <w:bCs/>
          <w:iCs/>
        </w:rPr>
      </w:pPr>
      <w:r w:rsidRPr="00A22267">
        <w:rPr>
          <w:bCs/>
          <w:iCs/>
        </w:rPr>
        <w:t>Work and Family Support Bureau</w:t>
      </w:r>
    </w:p>
    <w:p w:rsidR="00446981" w:rsidRPr="00A22267" w:rsidRDefault="00446981" w:rsidP="00A22267">
      <w:pPr>
        <w:ind w:firstLine="360"/>
      </w:pPr>
      <w:r w:rsidRPr="00A22267">
        <w:rPr>
          <w:bCs/>
          <w:iCs/>
        </w:rPr>
        <w:t>NM HSD/Income Support Division</w:t>
      </w:r>
    </w:p>
    <w:p w:rsidR="00446981" w:rsidRDefault="00D11742" w:rsidP="002A179F">
      <w:pPr>
        <w:ind w:firstLine="360"/>
        <w:rPr>
          <w:bCs/>
          <w:iCs/>
        </w:rPr>
      </w:pPr>
      <w:r>
        <w:rPr>
          <w:bCs/>
          <w:iCs/>
        </w:rPr>
        <w:t>2009 S Pacheco St</w:t>
      </w:r>
      <w:r w:rsidR="002A179F">
        <w:rPr>
          <w:bCs/>
          <w:iCs/>
        </w:rPr>
        <w:t xml:space="preserve"> (87505)</w:t>
      </w:r>
    </w:p>
    <w:p w:rsidR="002E5D91" w:rsidRDefault="002E5D91" w:rsidP="002E5D91">
      <w:pPr>
        <w:ind w:firstLine="360"/>
      </w:pPr>
      <w:r>
        <w:rPr>
          <w:bCs/>
          <w:iCs/>
        </w:rPr>
        <w:t>PO Box 2348</w:t>
      </w:r>
    </w:p>
    <w:p w:rsidR="00446981" w:rsidRDefault="00D11742" w:rsidP="002E5D91">
      <w:pPr>
        <w:ind w:firstLine="360"/>
        <w:rPr>
          <w:bCs/>
          <w:iCs/>
        </w:rPr>
      </w:pPr>
      <w:r>
        <w:rPr>
          <w:bCs/>
          <w:iCs/>
        </w:rPr>
        <w:t>Santa Fe, NM 87504-2348</w:t>
      </w:r>
    </w:p>
    <w:p w:rsidR="002A179F" w:rsidRDefault="00D8346A" w:rsidP="002A179F">
      <w:pPr>
        <w:ind w:firstLine="360"/>
        <w:rPr>
          <w:bCs/>
          <w:iCs/>
        </w:rPr>
      </w:pPr>
      <w:hyperlink r:id="rId12" w:history="1">
        <w:r w:rsidR="002A179F" w:rsidRPr="00F80F4D">
          <w:rPr>
            <w:rStyle w:val="Hyperlink"/>
            <w:bCs/>
            <w:iCs/>
          </w:rPr>
          <w:t>WilliamG.Wuestenhag@state.nm.us</w:t>
        </w:r>
      </w:hyperlink>
    </w:p>
    <w:p w:rsidR="00446981" w:rsidRPr="00A22267" w:rsidRDefault="00EB555F" w:rsidP="00A22267">
      <w:pPr>
        <w:ind w:firstLine="360"/>
      </w:pPr>
      <w:r>
        <w:rPr>
          <w:bCs/>
          <w:iCs/>
        </w:rPr>
        <w:t xml:space="preserve">Office: </w:t>
      </w:r>
      <w:r w:rsidR="00CA5830">
        <w:rPr>
          <w:bCs/>
          <w:iCs/>
        </w:rPr>
        <w:t>(505) 827-7251</w:t>
      </w:r>
    </w:p>
    <w:p w:rsidR="00446981" w:rsidRPr="00A22267" w:rsidRDefault="00EB555F" w:rsidP="00A22267">
      <w:pPr>
        <w:ind w:firstLine="360"/>
      </w:pPr>
      <w:r>
        <w:rPr>
          <w:bCs/>
          <w:iCs/>
        </w:rPr>
        <w:t>Fax: (505) 827-7259</w:t>
      </w:r>
    </w:p>
    <w:p w:rsidR="00446981" w:rsidRPr="00446981" w:rsidRDefault="00446981" w:rsidP="000069EB">
      <w:pPr>
        <w:ind w:firstLine="360"/>
      </w:pPr>
      <w:r w:rsidRPr="00A22267">
        <w:rPr>
          <w:bCs/>
          <w:iCs/>
        </w:rPr>
        <w:t>Wk Cell: (505) 401-1185</w:t>
      </w:r>
    </w:p>
    <w:p w:rsidR="009C4263" w:rsidRPr="00045992" w:rsidRDefault="002E1761" w:rsidP="00045992">
      <w:pPr>
        <w:ind w:left="1440"/>
      </w:pPr>
      <w:r w:rsidRPr="00045992">
        <w:t xml:space="preserve"> </w:t>
      </w:r>
    </w:p>
    <w:p w:rsidR="00060414" w:rsidRDefault="00060414" w:rsidP="00060414"/>
    <w:sectPr w:rsidR="00060414" w:rsidSect="007311F1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5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BB" w:rsidRDefault="003A21BB">
      <w:r>
        <w:separator/>
      </w:r>
    </w:p>
  </w:endnote>
  <w:endnote w:type="continuationSeparator" w:id="0">
    <w:p w:rsidR="003A21BB" w:rsidRDefault="003A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79" w:rsidRDefault="003D0479" w:rsidP="002C4E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0479" w:rsidRDefault="003D0479" w:rsidP="00890E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79" w:rsidRDefault="003D0479" w:rsidP="002C4E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46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46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0479" w:rsidRDefault="003E3B46" w:rsidP="00890EFB">
    <w:pPr>
      <w:pStyle w:val="Footer"/>
      <w:ind w:right="360"/>
    </w:pPr>
    <w:fldSimple w:instr=" FILENAME   \* MERGEFORMAT ">
      <w:r w:rsidR="00D8346A">
        <w:rPr>
          <w:noProof/>
        </w:rPr>
        <w:t>CSBG Fact Sheet 01.15.14.docx</w:t>
      </w:r>
    </w:fldSimple>
    <w:r w:rsidR="00B2596E">
      <w:rPr>
        <w:noProof/>
      </w:rPr>
      <w:t>1.15.14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79" w:rsidRDefault="003D0479" w:rsidP="00F963AB">
    <w:pPr>
      <w:pStyle w:val="Footer"/>
      <w:jc w:val="both"/>
    </w:pPr>
    <w:r>
      <w:t>CSBG Fact Sheet March 2012</w:t>
    </w:r>
    <w:r>
      <w:tab/>
    </w:r>
    <w:r>
      <w:tab/>
      <w:t xml:space="preserve">            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 w:rsidR="00D8346A">
      <w:fldChar w:fldCharType="begin"/>
    </w:r>
    <w:r w:rsidR="00D8346A">
      <w:instrText xml:space="preserve"> NUMPAGES </w:instrText>
    </w:r>
    <w:r w:rsidR="00D8346A">
      <w:fldChar w:fldCharType="separate"/>
    </w:r>
    <w:r w:rsidR="00D8346A">
      <w:rPr>
        <w:noProof/>
      </w:rPr>
      <w:t>3</w:t>
    </w:r>
    <w:r w:rsidR="00D834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BB" w:rsidRDefault="003A21BB">
      <w:r>
        <w:separator/>
      </w:r>
    </w:p>
  </w:footnote>
  <w:footnote w:type="continuationSeparator" w:id="0">
    <w:p w:rsidR="003A21BB" w:rsidRDefault="003A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79" w:rsidRDefault="003D0479">
    <w:pPr>
      <w:pStyle w:val="Header"/>
    </w:pPr>
  </w:p>
  <w:p w:rsidR="003D0479" w:rsidRDefault="003D0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67"/>
    <w:multiLevelType w:val="hybridMultilevel"/>
    <w:tmpl w:val="A04AE7FE"/>
    <w:lvl w:ilvl="0" w:tplc="2E840C26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B5DB6"/>
    <w:multiLevelType w:val="hybridMultilevel"/>
    <w:tmpl w:val="CA0E16C0"/>
    <w:lvl w:ilvl="0" w:tplc="2E840C26">
      <w:start w:val="1"/>
      <w:numFmt w:val="bullet"/>
      <w:lvlText w:val="►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1" w:tplc="3AB0E30C">
      <w:start w:val="1"/>
      <w:numFmt w:val="bullet"/>
      <w:lvlText w:val="►"/>
      <w:lvlJc w:val="left"/>
      <w:pPr>
        <w:tabs>
          <w:tab w:val="num" w:pos="1890"/>
        </w:tabs>
        <w:ind w:left="1890" w:hanging="360"/>
      </w:pPr>
      <w:rPr>
        <w:rFonts w:ascii="Book Antiqua" w:hAnsi="Book Antiqu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08776851"/>
    <w:multiLevelType w:val="hybridMultilevel"/>
    <w:tmpl w:val="1220AC2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A10374F"/>
    <w:multiLevelType w:val="hybridMultilevel"/>
    <w:tmpl w:val="2CD2D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3D5632"/>
    <w:multiLevelType w:val="hybridMultilevel"/>
    <w:tmpl w:val="63C4B428"/>
    <w:lvl w:ilvl="0" w:tplc="2E840C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40C2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B087C"/>
    <w:multiLevelType w:val="hybridMultilevel"/>
    <w:tmpl w:val="071C286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AB0E30C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9A64A7"/>
    <w:multiLevelType w:val="hybridMultilevel"/>
    <w:tmpl w:val="43A472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74E90"/>
    <w:multiLevelType w:val="hybridMultilevel"/>
    <w:tmpl w:val="A5BCBFB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0A1C0B"/>
    <w:multiLevelType w:val="hybridMultilevel"/>
    <w:tmpl w:val="8EF602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EF03D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64817"/>
    <w:multiLevelType w:val="hybridMultilevel"/>
    <w:tmpl w:val="3FE0C398"/>
    <w:lvl w:ilvl="0" w:tplc="2E840C26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CE21A5"/>
    <w:multiLevelType w:val="hybridMultilevel"/>
    <w:tmpl w:val="854AD97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AB0E30C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7F3A9D"/>
    <w:multiLevelType w:val="hybridMultilevel"/>
    <w:tmpl w:val="78CA3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D2C4F"/>
    <w:multiLevelType w:val="hybridMultilevel"/>
    <w:tmpl w:val="D794FA90"/>
    <w:lvl w:ilvl="0" w:tplc="6B841416">
      <w:start w:val="1"/>
      <w:numFmt w:val="bullet"/>
      <w:lvlText w:val="►"/>
      <w:lvlJc w:val="left"/>
      <w:pPr>
        <w:ind w:left="72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2077F"/>
    <w:multiLevelType w:val="hybridMultilevel"/>
    <w:tmpl w:val="61126AC6"/>
    <w:lvl w:ilvl="0" w:tplc="5192E65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A3731A"/>
    <w:multiLevelType w:val="hybridMultilevel"/>
    <w:tmpl w:val="4E64A986"/>
    <w:lvl w:ilvl="0" w:tplc="5192E65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443E10"/>
    <w:multiLevelType w:val="hybridMultilevel"/>
    <w:tmpl w:val="4672D5C2"/>
    <w:lvl w:ilvl="0" w:tplc="7EF03D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7EF03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0AC4395"/>
    <w:multiLevelType w:val="hybridMultilevel"/>
    <w:tmpl w:val="E42E4D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2945835"/>
    <w:multiLevelType w:val="hybridMultilevel"/>
    <w:tmpl w:val="05F8770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710D26"/>
    <w:multiLevelType w:val="hybridMultilevel"/>
    <w:tmpl w:val="6FAC95E0"/>
    <w:lvl w:ilvl="0" w:tplc="2E840C26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B72A31"/>
    <w:multiLevelType w:val="hybridMultilevel"/>
    <w:tmpl w:val="87568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D1988"/>
    <w:multiLevelType w:val="hybridMultilevel"/>
    <w:tmpl w:val="F454E72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507B3395"/>
    <w:multiLevelType w:val="hybridMultilevel"/>
    <w:tmpl w:val="0BAAD50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C1D1EB7"/>
    <w:multiLevelType w:val="hybridMultilevel"/>
    <w:tmpl w:val="ADC87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921562"/>
    <w:multiLevelType w:val="hybridMultilevel"/>
    <w:tmpl w:val="AFFA8512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EE45D6"/>
    <w:multiLevelType w:val="hybridMultilevel"/>
    <w:tmpl w:val="B70AA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7256E0"/>
    <w:multiLevelType w:val="hybridMultilevel"/>
    <w:tmpl w:val="1BCCA95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76B4C51"/>
    <w:multiLevelType w:val="hybridMultilevel"/>
    <w:tmpl w:val="2DA8DD0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693B515A"/>
    <w:multiLevelType w:val="hybridMultilevel"/>
    <w:tmpl w:val="D20C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C640F2"/>
    <w:multiLevelType w:val="multilevel"/>
    <w:tmpl w:val="8EF60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A41CD3"/>
    <w:multiLevelType w:val="hybridMultilevel"/>
    <w:tmpl w:val="197063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2A2010"/>
    <w:multiLevelType w:val="hybridMultilevel"/>
    <w:tmpl w:val="F3A8FA3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5192E654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BAA00CB"/>
    <w:multiLevelType w:val="hybridMultilevel"/>
    <w:tmpl w:val="5718845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5192E654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1"/>
  </w:num>
  <w:num w:numId="5">
    <w:abstractNumId w:val="10"/>
  </w:num>
  <w:num w:numId="6">
    <w:abstractNumId w:val="5"/>
  </w:num>
  <w:num w:numId="7">
    <w:abstractNumId w:val="17"/>
  </w:num>
  <w:num w:numId="8">
    <w:abstractNumId w:val="20"/>
  </w:num>
  <w:num w:numId="9">
    <w:abstractNumId w:val="8"/>
  </w:num>
  <w:num w:numId="10">
    <w:abstractNumId w:val="2"/>
  </w:num>
  <w:num w:numId="11">
    <w:abstractNumId w:val="7"/>
  </w:num>
  <w:num w:numId="12">
    <w:abstractNumId w:val="19"/>
  </w:num>
  <w:num w:numId="13">
    <w:abstractNumId w:val="14"/>
  </w:num>
  <w:num w:numId="14">
    <w:abstractNumId w:val="31"/>
  </w:num>
  <w:num w:numId="15">
    <w:abstractNumId w:val="13"/>
  </w:num>
  <w:num w:numId="16">
    <w:abstractNumId w:val="30"/>
  </w:num>
  <w:num w:numId="17">
    <w:abstractNumId w:val="6"/>
  </w:num>
  <w:num w:numId="18">
    <w:abstractNumId w:val="28"/>
  </w:num>
  <w:num w:numId="19">
    <w:abstractNumId w:val="1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25"/>
  </w:num>
  <w:num w:numId="24">
    <w:abstractNumId w:val="23"/>
  </w:num>
  <w:num w:numId="25">
    <w:abstractNumId w:val="9"/>
  </w:num>
  <w:num w:numId="26">
    <w:abstractNumId w:val="3"/>
  </w:num>
  <w:num w:numId="27">
    <w:abstractNumId w:val="29"/>
  </w:num>
  <w:num w:numId="28">
    <w:abstractNumId w:val="26"/>
  </w:num>
  <w:num w:numId="29">
    <w:abstractNumId w:val="22"/>
  </w:num>
  <w:num w:numId="30">
    <w:abstractNumId w:val="24"/>
  </w:num>
  <w:num w:numId="31">
    <w:abstractNumId w:val="1"/>
  </w:num>
  <w:num w:numId="3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18"/>
    <w:rsid w:val="0000595F"/>
    <w:rsid w:val="000069EB"/>
    <w:rsid w:val="00016F56"/>
    <w:rsid w:val="00020EE4"/>
    <w:rsid w:val="00026A79"/>
    <w:rsid w:val="00037AB6"/>
    <w:rsid w:val="00037BD9"/>
    <w:rsid w:val="0004581A"/>
    <w:rsid w:val="00045992"/>
    <w:rsid w:val="00050F3F"/>
    <w:rsid w:val="00051579"/>
    <w:rsid w:val="00060414"/>
    <w:rsid w:val="000822FE"/>
    <w:rsid w:val="0009651B"/>
    <w:rsid w:val="000A23DD"/>
    <w:rsid w:val="000A5A1B"/>
    <w:rsid w:val="000A722B"/>
    <w:rsid w:val="000A7C08"/>
    <w:rsid w:val="000B6771"/>
    <w:rsid w:val="000C147C"/>
    <w:rsid w:val="000C3A65"/>
    <w:rsid w:val="000C57F4"/>
    <w:rsid w:val="000D6829"/>
    <w:rsid w:val="000E3E43"/>
    <w:rsid w:val="000E3F7E"/>
    <w:rsid w:val="000F08D9"/>
    <w:rsid w:val="000F466D"/>
    <w:rsid w:val="000F71CC"/>
    <w:rsid w:val="001062F8"/>
    <w:rsid w:val="00111301"/>
    <w:rsid w:val="00124492"/>
    <w:rsid w:val="00134276"/>
    <w:rsid w:val="0013535F"/>
    <w:rsid w:val="0015328A"/>
    <w:rsid w:val="00167FDE"/>
    <w:rsid w:val="00173FD5"/>
    <w:rsid w:val="001746CF"/>
    <w:rsid w:val="00190C26"/>
    <w:rsid w:val="00197A26"/>
    <w:rsid w:val="001A13B2"/>
    <w:rsid w:val="001B3F98"/>
    <w:rsid w:val="001B52D5"/>
    <w:rsid w:val="001D0BCA"/>
    <w:rsid w:val="001D4E8F"/>
    <w:rsid w:val="001E5C0A"/>
    <w:rsid w:val="001F24D2"/>
    <w:rsid w:val="002007D0"/>
    <w:rsid w:val="0023064F"/>
    <w:rsid w:val="00236E18"/>
    <w:rsid w:val="00237657"/>
    <w:rsid w:val="00250AD3"/>
    <w:rsid w:val="002614B7"/>
    <w:rsid w:val="00262505"/>
    <w:rsid w:val="00266ABE"/>
    <w:rsid w:val="00277690"/>
    <w:rsid w:val="002A07D2"/>
    <w:rsid w:val="002A179F"/>
    <w:rsid w:val="002A31F0"/>
    <w:rsid w:val="002A3C5C"/>
    <w:rsid w:val="002A4E2E"/>
    <w:rsid w:val="002A6BC1"/>
    <w:rsid w:val="002A73EE"/>
    <w:rsid w:val="002C4E08"/>
    <w:rsid w:val="002C5BD8"/>
    <w:rsid w:val="002E1761"/>
    <w:rsid w:val="002E5D91"/>
    <w:rsid w:val="002F5765"/>
    <w:rsid w:val="00302570"/>
    <w:rsid w:val="00304290"/>
    <w:rsid w:val="003161A8"/>
    <w:rsid w:val="00327AF5"/>
    <w:rsid w:val="00335DA5"/>
    <w:rsid w:val="00340692"/>
    <w:rsid w:val="00342C51"/>
    <w:rsid w:val="003473DA"/>
    <w:rsid w:val="00347B70"/>
    <w:rsid w:val="00353AAE"/>
    <w:rsid w:val="00360BE2"/>
    <w:rsid w:val="003719CC"/>
    <w:rsid w:val="0037663F"/>
    <w:rsid w:val="00383615"/>
    <w:rsid w:val="0038466C"/>
    <w:rsid w:val="00386AA7"/>
    <w:rsid w:val="00397479"/>
    <w:rsid w:val="003A21BB"/>
    <w:rsid w:val="003B4C4E"/>
    <w:rsid w:val="003B54C8"/>
    <w:rsid w:val="003B7AA1"/>
    <w:rsid w:val="003B7E7F"/>
    <w:rsid w:val="003C0476"/>
    <w:rsid w:val="003C21FD"/>
    <w:rsid w:val="003D0479"/>
    <w:rsid w:val="003D5D91"/>
    <w:rsid w:val="003E1444"/>
    <w:rsid w:val="003E3B46"/>
    <w:rsid w:val="003E6032"/>
    <w:rsid w:val="003F0FFB"/>
    <w:rsid w:val="00401946"/>
    <w:rsid w:val="0041609A"/>
    <w:rsid w:val="00420E46"/>
    <w:rsid w:val="00425DA7"/>
    <w:rsid w:val="00430529"/>
    <w:rsid w:val="00446981"/>
    <w:rsid w:val="0045103B"/>
    <w:rsid w:val="00462C3B"/>
    <w:rsid w:val="0048776E"/>
    <w:rsid w:val="00487FBE"/>
    <w:rsid w:val="00490537"/>
    <w:rsid w:val="004A28FD"/>
    <w:rsid w:val="004A3DD4"/>
    <w:rsid w:val="004A3F9D"/>
    <w:rsid w:val="004A5AED"/>
    <w:rsid w:val="004A74B6"/>
    <w:rsid w:val="004C3D38"/>
    <w:rsid w:val="004C6CF3"/>
    <w:rsid w:val="004D0D25"/>
    <w:rsid w:val="004D23F1"/>
    <w:rsid w:val="004E61F9"/>
    <w:rsid w:val="004E6F5A"/>
    <w:rsid w:val="00502FDE"/>
    <w:rsid w:val="005064B4"/>
    <w:rsid w:val="005118FB"/>
    <w:rsid w:val="00531214"/>
    <w:rsid w:val="00547876"/>
    <w:rsid w:val="0055061E"/>
    <w:rsid w:val="005520D1"/>
    <w:rsid w:val="00561E79"/>
    <w:rsid w:val="00564DD4"/>
    <w:rsid w:val="00576D21"/>
    <w:rsid w:val="0058121E"/>
    <w:rsid w:val="00585DEC"/>
    <w:rsid w:val="00594615"/>
    <w:rsid w:val="005A0883"/>
    <w:rsid w:val="005A77AA"/>
    <w:rsid w:val="005D21CC"/>
    <w:rsid w:val="005D5360"/>
    <w:rsid w:val="005E1FBE"/>
    <w:rsid w:val="005E24C5"/>
    <w:rsid w:val="00605427"/>
    <w:rsid w:val="00616F3A"/>
    <w:rsid w:val="00630E97"/>
    <w:rsid w:val="0063363A"/>
    <w:rsid w:val="0064014A"/>
    <w:rsid w:val="00654351"/>
    <w:rsid w:val="0068527B"/>
    <w:rsid w:val="0068621F"/>
    <w:rsid w:val="006A209D"/>
    <w:rsid w:val="006B03BA"/>
    <w:rsid w:val="006B730D"/>
    <w:rsid w:val="006C0FFF"/>
    <w:rsid w:val="006C27B5"/>
    <w:rsid w:val="006C431E"/>
    <w:rsid w:val="006C6500"/>
    <w:rsid w:val="006D3315"/>
    <w:rsid w:val="006E2593"/>
    <w:rsid w:val="006E6DC2"/>
    <w:rsid w:val="006F5038"/>
    <w:rsid w:val="006F76D1"/>
    <w:rsid w:val="00704262"/>
    <w:rsid w:val="00707478"/>
    <w:rsid w:val="007148C5"/>
    <w:rsid w:val="007148FE"/>
    <w:rsid w:val="007311F1"/>
    <w:rsid w:val="00744E30"/>
    <w:rsid w:val="00746EAA"/>
    <w:rsid w:val="00786E1C"/>
    <w:rsid w:val="007A3B69"/>
    <w:rsid w:val="007B23DF"/>
    <w:rsid w:val="007B50EF"/>
    <w:rsid w:val="007C5EBC"/>
    <w:rsid w:val="007D1B85"/>
    <w:rsid w:val="007D6489"/>
    <w:rsid w:val="007E0A4D"/>
    <w:rsid w:val="007F1A77"/>
    <w:rsid w:val="007F7631"/>
    <w:rsid w:val="008027B6"/>
    <w:rsid w:val="00804BFD"/>
    <w:rsid w:val="00804C65"/>
    <w:rsid w:val="00807F5B"/>
    <w:rsid w:val="008176D7"/>
    <w:rsid w:val="00845334"/>
    <w:rsid w:val="00867A7D"/>
    <w:rsid w:val="0087775B"/>
    <w:rsid w:val="00881572"/>
    <w:rsid w:val="00890EFB"/>
    <w:rsid w:val="00896E43"/>
    <w:rsid w:val="008A2BFB"/>
    <w:rsid w:val="008A68CF"/>
    <w:rsid w:val="008A7EF7"/>
    <w:rsid w:val="008B6886"/>
    <w:rsid w:val="008C7132"/>
    <w:rsid w:val="008C745B"/>
    <w:rsid w:val="008D2108"/>
    <w:rsid w:val="008E0CAF"/>
    <w:rsid w:val="008E3B42"/>
    <w:rsid w:val="00903308"/>
    <w:rsid w:val="009144CB"/>
    <w:rsid w:val="00924861"/>
    <w:rsid w:val="00927EF3"/>
    <w:rsid w:val="0093231F"/>
    <w:rsid w:val="0093787C"/>
    <w:rsid w:val="009411A6"/>
    <w:rsid w:val="009449A0"/>
    <w:rsid w:val="009513CD"/>
    <w:rsid w:val="00956833"/>
    <w:rsid w:val="00962B4A"/>
    <w:rsid w:val="00966A4C"/>
    <w:rsid w:val="009762C9"/>
    <w:rsid w:val="00976BDB"/>
    <w:rsid w:val="00981C27"/>
    <w:rsid w:val="009829AE"/>
    <w:rsid w:val="009913B1"/>
    <w:rsid w:val="009A26BF"/>
    <w:rsid w:val="009B471A"/>
    <w:rsid w:val="009B4A3D"/>
    <w:rsid w:val="009B7519"/>
    <w:rsid w:val="009C3202"/>
    <w:rsid w:val="009C4263"/>
    <w:rsid w:val="009D56A5"/>
    <w:rsid w:val="009E0210"/>
    <w:rsid w:val="009F43D9"/>
    <w:rsid w:val="00A0393A"/>
    <w:rsid w:val="00A03FB6"/>
    <w:rsid w:val="00A16D93"/>
    <w:rsid w:val="00A22267"/>
    <w:rsid w:val="00A227F4"/>
    <w:rsid w:val="00A234D5"/>
    <w:rsid w:val="00A50C00"/>
    <w:rsid w:val="00A80D48"/>
    <w:rsid w:val="00A9113B"/>
    <w:rsid w:val="00A96047"/>
    <w:rsid w:val="00AA5510"/>
    <w:rsid w:val="00AA62E0"/>
    <w:rsid w:val="00AC079B"/>
    <w:rsid w:val="00AC39C5"/>
    <w:rsid w:val="00AC7516"/>
    <w:rsid w:val="00AD06EF"/>
    <w:rsid w:val="00AD106A"/>
    <w:rsid w:val="00AD6992"/>
    <w:rsid w:val="00AD6D66"/>
    <w:rsid w:val="00AE5825"/>
    <w:rsid w:val="00AE715A"/>
    <w:rsid w:val="00B24541"/>
    <w:rsid w:val="00B24F08"/>
    <w:rsid w:val="00B2596E"/>
    <w:rsid w:val="00B313FE"/>
    <w:rsid w:val="00B34E28"/>
    <w:rsid w:val="00B40B1A"/>
    <w:rsid w:val="00B45EF0"/>
    <w:rsid w:val="00B471F7"/>
    <w:rsid w:val="00B569C4"/>
    <w:rsid w:val="00B56D79"/>
    <w:rsid w:val="00B61E4E"/>
    <w:rsid w:val="00B61EEB"/>
    <w:rsid w:val="00B64A0C"/>
    <w:rsid w:val="00B66063"/>
    <w:rsid w:val="00B6695E"/>
    <w:rsid w:val="00B70C74"/>
    <w:rsid w:val="00B86E43"/>
    <w:rsid w:val="00B9164E"/>
    <w:rsid w:val="00BA4B12"/>
    <w:rsid w:val="00BA5449"/>
    <w:rsid w:val="00BA6431"/>
    <w:rsid w:val="00BB0B85"/>
    <w:rsid w:val="00BC2C99"/>
    <w:rsid w:val="00BD2006"/>
    <w:rsid w:val="00BD7AA9"/>
    <w:rsid w:val="00BF5EE3"/>
    <w:rsid w:val="00C11B17"/>
    <w:rsid w:val="00C13A56"/>
    <w:rsid w:val="00C21270"/>
    <w:rsid w:val="00C26D8C"/>
    <w:rsid w:val="00C270B7"/>
    <w:rsid w:val="00C349C9"/>
    <w:rsid w:val="00C4152C"/>
    <w:rsid w:val="00C5622D"/>
    <w:rsid w:val="00C64D84"/>
    <w:rsid w:val="00C6795A"/>
    <w:rsid w:val="00C733F7"/>
    <w:rsid w:val="00C83354"/>
    <w:rsid w:val="00C8577D"/>
    <w:rsid w:val="00CA4ED3"/>
    <w:rsid w:val="00CA5830"/>
    <w:rsid w:val="00CB64AA"/>
    <w:rsid w:val="00CE4C5B"/>
    <w:rsid w:val="00CF3A73"/>
    <w:rsid w:val="00CF4495"/>
    <w:rsid w:val="00CF6616"/>
    <w:rsid w:val="00CF7A93"/>
    <w:rsid w:val="00D01365"/>
    <w:rsid w:val="00D03D65"/>
    <w:rsid w:val="00D04453"/>
    <w:rsid w:val="00D11742"/>
    <w:rsid w:val="00D44114"/>
    <w:rsid w:val="00D50DD2"/>
    <w:rsid w:val="00D829CD"/>
    <w:rsid w:val="00D833DF"/>
    <w:rsid w:val="00D8346A"/>
    <w:rsid w:val="00D92A95"/>
    <w:rsid w:val="00D97714"/>
    <w:rsid w:val="00DB6566"/>
    <w:rsid w:val="00DC085D"/>
    <w:rsid w:val="00DD7186"/>
    <w:rsid w:val="00DD7952"/>
    <w:rsid w:val="00DE413B"/>
    <w:rsid w:val="00DE4BF7"/>
    <w:rsid w:val="00DF43D4"/>
    <w:rsid w:val="00E12C87"/>
    <w:rsid w:val="00E15E74"/>
    <w:rsid w:val="00E21A4D"/>
    <w:rsid w:val="00E30596"/>
    <w:rsid w:val="00E439D5"/>
    <w:rsid w:val="00E442CB"/>
    <w:rsid w:val="00E454CD"/>
    <w:rsid w:val="00E50757"/>
    <w:rsid w:val="00E56B21"/>
    <w:rsid w:val="00E603C9"/>
    <w:rsid w:val="00E62461"/>
    <w:rsid w:val="00E84114"/>
    <w:rsid w:val="00E846DB"/>
    <w:rsid w:val="00E90273"/>
    <w:rsid w:val="00E96CDE"/>
    <w:rsid w:val="00EA5B5A"/>
    <w:rsid w:val="00EB1558"/>
    <w:rsid w:val="00EB555F"/>
    <w:rsid w:val="00EC2E99"/>
    <w:rsid w:val="00EC467B"/>
    <w:rsid w:val="00ED1D64"/>
    <w:rsid w:val="00ED2B0C"/>
    <w:rsid w:val="00F06097"/>
    <w:rsid w:val="00F329FD"/>
    <w:rsid w:val="00F41146"/>
    <w:rsid w:val="00F438CB"/>
    <w:rsid w:val="00F60C05"/>
    <w:rsid w:val="00F62143"/>
    <w:rsid w:val="00F708E2"/>
    <w:rsid w:val="00F75EDB"/>
    <w:rsid w:val="00F8488F"/>
    <w:rsid w:val="00F963AB"/>
    <w:rsid w:val="00F97B63"/>
    <w:rsid w:val="00FA590C"/>
    <w:rsid w:val="00FC10D6"/>
    <w:rsid w:val="00FE0BDC"/>
    <w:rsid w:val="00FE5E07"/>
    <w:rsid w:val="00FF433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EFB"/>
  </w:style>
  <w:style w:type="paragraph" w:styleId="Header">
    <w:name w:val="header"/>
    <w:basedOn w:val="Normal"/>
    <w:link w:val="HeaderChar"/>
    <w:uiPriority w:val="99"/>
    <w:rsid w:val="00896E43"/>
    <w:pPr>
      <w:tabs>
        <w:tab w:val="center" w:pos="4320"/>
        <w:tab w:val="right" w:pos="8640"/>
      </w:tabs>
    </w:pPr>
  </w:style>
  <w:style w:type="table" w:styleId="TableSimple1">
    <w:name w:val="Table Simple 1"/>
    <w:basedOn w:val="TableNormal"/>
    <w:rsid w:val="0026250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D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40B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5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03BA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446981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D2B0C"/>
    <w:rPr>
      <w:sz w:val="24"/>
      <w:szCs w:val="24"/>
    </w:rPr>
  </w:style>
  <w:style w:type="paragraph" w:styleId="NormalWeb">
    <w:name w:val="Normal (Web)"/>
    <w:basedOn w:val="Normal"/>
    <w:rsid w:val="0097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EFB"/>
  </w:style>
  <w:style w:type="paragraph" w:styleId="Header">
    <w:name w:val="header"/>
    <w:basedOn w:val="Normal"/>
    <w:link w:val="HeaderChar"/>
    <w:uiPriority w:val="99"/>
    <w:rsid w:val="00896E43"/>
    <w:pPr>
      <w:tabs>
        <w:tab w:val="center" w:pos="4320"/>
        <w:tab w:val="right" w:pos="8640"/>
      </w:tabs>
    </w:pPr>
  </w:style>
  <w:style w:type="table" w:styleId="TableSimple1">
    <w:name w:val="Table Simple 1"/>
    <w:basedOn w:val="TableNormal"/>
    <w:rsid w:val="0026250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D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40B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5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03BA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446981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D2B0C"/>
    <w:rPr>
      <w:sz w:val="24"/>
      <w:szCs w:val="24"/>
    </w:rPr>
  </w:style>
  <w:style w:type="paragraph" w:styleId="NormalWeb">
    <w:name w:val="Normal (Web)"/>
    <w:basedOn w:val="Normal"/>
    <w:rsid w:val="0097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illiamG.Wuestenhag@state.nm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B7D8-3187-43DE-9D1E-C75B9BD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CSGB Fact Sheet</vt:lpstr>
    </vt:vector>
  </TitlesOfParts>
  <Company>HSD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CSGB Fact Sheet</dc:title>
  <dc:creator>Cathy Sisneros</dc:creator>
  <cp:lastModifiedBy>Administrator</cp:lastModifiedBy>
  <cp:revision>4</cp:revision>
  <cp:lastPrinted>2014-01-17T23:39:00Z</cp:lastPrinted>
  <dcterms:created xsi:type="dcterms:W3CDTF">2014-01-16T15:36:00Z</dcterms:created>
  <dcterms:modified xsi:type="dcterms:W3CDTF">2014-01-17T23:39:00Z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